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2CF2B" w14:textId="6C9D426F" w:rsidR="00955987" w:rsidRDefault="002336F9">
      <w:pPr>
        <w:pStyle w:val="BodyText"/>
        <w:ind w:left="340"/>
        <w:rPr>
          <w:rFonts w:ascii="Times New Roman"/>
          <w:sz w:val="20"/>
        </w:rPr>
      </w:pPr>
      <w:r>
        <w:rPr>
          <w:rFonts w:ascii="Times New Roman"/>
          <w:noProof/>
          <w:sz w:val="20"/>
        </w:rPr>
        <w:drawing>
          <wp:inline distT="0" distB="0" distL="0" distR="0" wp14:anchorId="776DF792" wp14:editId="3A2ABB8E">
            <wp:extent cx="2286000" cy="731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286000" cy="731520"/>
                    </a:xfrm>
                    <a:prstGeom prst="rect">
                      <a:avLst/>
                    </a:prstGeom>
                  </pic:spPr>
                </pic:pic>
              </a:graphicData>
            </a:graphic>
          </wp:inline>
        </w:drawing>
      </w:r>
    </w:p>
    <w:p w14:paraId="4D027338" w14:textId="77777777" w:rsidR="00955987" w:rsidRDefault="00955987">
      <w:pPr>
        <w:pStyle w:val="BodyText"/>
        <w:rPr>
          <w:rFonts w:ascii="Times New Roman"/>
          <w:sz w:val="20"/>
        </w:rPr>
      </w:pPr>
    </w:p>
    <w:p w14:paraId="720B19EF" w14:textId="77777777" w:rsidR="00955987" w:rsidRDefault="00955987">
      <w:pPr>
        <w:pStyle w:val="BodyText"/>
        <w:rPr>
          <w:rFonts w:ascii="Times New Roman"/>
          <w:sz w:val="20"/>
        </w:rPr>
      </w:pPr>
    </w:p>
    <w:p w14:paraId="2EEEE9ED" w14:textId="77777777" w:rsidR="00955987" w:rsidRDefault="00955987" w:rsidP="00233C70">
      <w:pPr>
        <w:pStyle w:val="APATitle"/>
      </w:pPr>
    </w:p>
    <w:p w14:paraId="635A2EA1" w14:textId="77777777" w:rsidR="007B07F8" w:rsidRDefault="00F32574" w:rsidP="00F32574">
      <w:pPr>
        <w:pStyle w:val="BodyText"/>
        <w:jc w:val="center"/>
        <w:rPr>
          <w:szCs w:val="22"/>
        </w:rPr>
      </w:pPr>
      <w:r w:rsidRPr="00F32574">
        <w:rPr>
          <w:rFonts w:eastAsiaTheme="majorEastAsia" w:cstheme="majorBidi"/>
          <w:b/>
          <w:sz w:val="56"/>
          <w:szCs w:val="26"/>
        </w:rPr>
        <w:t>Elements of a Mathematical Framework for Model Validation Levels</w:t>
      </w:r>
      <w:r w:rsidR="00CC187A">
        <w:rPr>
          <w:szCs w:val="22"/>
        </w:rPr>
        <w:br/>
      </w:r>
    </w:p>
    <w:p w14:paraId="74C10B8C" w14:textId="09D2497E" w:rsidR="00F32574" w:rsidRPr="00F32574" w:rsidRDefault="00C64DA7" w:rsidP="00F32574">
      <w:pPr>
        <w:pStyle w:val="BodyText"/>
        <w:jc w:val="center"/>
        <w:rPr>
          <w:szCs w:val="22"/>
        </w:rPr>
      </w:pPr>
      <w:r>
        <w:rPr>
          <w:szCs w:val="22"/>
        </w:rPr>
        <w:t>August</w:t>
      </w:r>
      <w:r w:rsidRPr="00F32574">
        <w:rPr>
          <w:szCs w:val="22"/>
        </w:rPr>
        <w:t xml:space="preserve"> </w:t>
      </w:r>
      <w:r w:rsidR="00F32574" w:rsidRPr="00F32574">
        <w:rPr>
          <w:szCs w:val="22"/>
        </w:rPr>
        <w:t>2022</w:t>
      </w:r>
      <w:r w:rsidR="00CC187A">
        <w:rPr>
          <w:szCs w:val="22"/>
        </w:rPr>
        <w:br/>
      </w:r>
      <w:r w:rsidR="00CC187A">
        <w:rPr>
          <w:szCs w:val="22"/>
        </w:rPr>
        <w:br/>
      </w:r>
      <w:r w:rsidR="00F32574" w:rsidRPr="00F32574">
        <w:rPr>
          <w:szCs w:val="22"/>
        </w:rPr>
        <w:t>Kyle Provost, Contractor</w:t>
      </w:r>
    </w:p>
    <w:p w14:paraId="2CE4EFDF" w14:textId="77777777" w:rsidR="00F32574" w:rsidRPr="00F32574" w:rsidRDefault="00F32574" w:rsidP="00F32574">
      <w:pPr>
        <w:pStyle w:val="BodyText"/>
        <w:jc w:val="center"/>
        <w:rPr>
          <w:szCs w:val="22"/>
        </w:rPr>
      </w:pPr>
      <w:r w:rsidRPr="00F32574">
        <w:rPr>
          <w:szCs w:val="22"/>
        </w:rPr>
        <w:t>Corinne Weeks, Contractor</w:t>
      </w:r>
    </w:p>
    <w:p w14:paraId="65D31B25" w14:textId="77777777" w:rsidR="00F32574" w:rsidRPr="00F32574" w:rsidRDefault="00F32574" w:rsidP="00F32574">
      <w:pPr>
        <w:pStyle w:val="BodyText"/>
        <w:jc w:val="center"/>
        <w:rPr>
          <w:szCs w:val="22"/>
        </w:rPr>
      </w:pPr>
      <w:r w:rsidRPr="00F32574">
        <w:rPr>
          <w:szCs w:val="22"/>
        </w:rPr>
        <w:t>Nicholas Jones, Contractor</w:t>
      </w:r>
    </w:p>
    <w:p w14:paraId="1F9F0150" w14:textId="1220170F" w:rsidR="00955987" w:rsidRDefault="00325B1A" w:rsidP="00F32574">
      <w:pPr>
        <w:pStyle w:val="BodyText"/>
        <w:jc w:val="center"/>
        <w:rPr>
          <w:sz w:val="20"/>
        </w:rPr>
      </w:pPr>
      <w:r>
        <w:rPr>
          <w:szCs w:val="22"/>
        </w:rPr>
        <w:t>Maj Victoria Sieck, PhD</w:t>
      </w:r>
    </w:p>
    <w:p w14:paraId="1475FD1F" w14:textId="77777777" w:rsidR="00AB03E5" w:rsidRDefault="00AB03E5" w:rsidP="00AB03E5"/>
    <w:p w14:paraId="7BB54BB7" w14:textId="77777777" w:rsidR="002103D3" w:rsidRPr="002103D3" w:rsidRDefault="002103D3" w:rsidP="002103D3">
      <w:pPr>
        <w:rPr>
          <w:sz w:val="20"/>
        </w:rPr>
      </w:pPr>
    </w:p>
    <w:p w14:paraId="684D220B" w14:textId="6366ADA3" w:rsidR="002103D3" w:rsidRPr="002103D3" w:rsidRDefault="002103D3" w:rsidP="002103D3">
      <w:pPr>
        <w:rPr>
          <w:sz w:val="20"/>
        </w:rPr>
      </w:pPr>
      <w:bookmarkStart w:id="0" w:name="_top"/>
      <w:bookmarkEnd w:id="0"/>
    </w:p>
    <w:p w14:paraId="4CA9A4C2" w14:textId="77777777" w:rsidR="002103D3" w:rsidRPr="002103D3" w:rsidRDefault="002103D3" w:rsidP="002103D3">
      <w:pPr>
        <w:rPr>
          <w:sz w:val="20"/>
        </w:rPr>
      </w:pPr>
    </w:p>
    <w:p w14:paraId="7BB30B57" w14:textId="77777777" w:rsidR="002103D3" w:rsidRPr="002103D3" w:rsidRDefault="002103D3" w:rsidP="002103D3">
      <w:pPr>
        <w:rPr>
          <w:sz w:val="20"/>
        </w:rPr>
      </w:pPr>
    </w:p>
    <w:p w14:paraId="51962261" w14:textId="77777777" w:rsidR="002103D3" w:rsidRPr="002103D3" w:rsidRDefault="002103D3" w:rsidP="002103D3">
      <w:pPr>
        <w:rPr>
          <w:sz w:val="20"/>
        </w:rPr>
      </w:pPr>
    </w:p>
    <w:p w14:paraId="4C27B1FA" w14:textId="77777777" w:rsidR="002103D3" w:rsidRPr="002103D3" w:rsidRDefault="002103D3" w:rsidP="002103D3">
      <w:pPr>
        <w:rPr>
          <w:sz w:val="20"/>
        </w:rPr>
      </w:pPr>
    </w:p>
    <w:p w14:paraId="1AF65BA6" w14:textId="77777777" w:rsidR="002103D3" w:rsidRPr="002103D3" w:rsidRDefault="002103D3" w:rsidP="002103D3">
      <w:pPr>
        <w:rPr>
          <w:sz w:val="20"/>
        </w:rPr>
      </w:pPr>
    </w:p>
    <w:p w14:paraId="7EC9729B" w14:textId="77777777" w:rsidR="002103D3" w:rsidRPr="002103D3" w:rsidRDefault="002103D3" w:rsidP="002103D3">
      <w:pPr>
        <w:rPr>
          <w:sz w:val="20"/>
        </w:rPr>
      </w:pPr>
    </w:p>
    <w:p w14:paraId="2CCC753C" w14:textId="77777777" w:rsidR="002103D3" w:rsidRPr="002103D3" w:rsidRDefault="002103D3" w:rsidP="002103D3">
      <w:pPr>
        <w:rPr>
          <w:sz w:val="20"/>
        </w:rPr>
      </w:pPr>
    </w:p>
    <w:p w14:paraId="14E81071" w14:textId="77777777" w:rsidR="002103D3" w:rsidRPr="002103D3" w:rsidRDefault="002103D3" w:rsidP="002103D3">
      <w:pPr>
        <w:rPr>
          <w:sz w:val="20"/>
        </w:rPr>
      </w:pPr>
    </w:p>
    <w:p w14:paraId="07C1E48E" w14:textId="77777777" w:rsidR="002103D3" w:rsidRPr="002103D3" w:rsidRDefault="002103D3" w:rsidP="002103D3">
      <w:pPr>
        <w:rPr>
          <w:sz w:val="20"/>
        </w:rPr>
      </w:pPr>
    </w:p>
    <w:p w14:paraId="5CFF6A8A" w14:textId="77777777" w:rsidR="002103D3" w:rsidRPr="002103D3" w:rsidRDefault="002103D3" w:rsidP="002103D3">
      <w:pPr>
        <w:rPr>
          <w:sz w:val="20"/>
        </w:rPr>
      </w:pPr>
    </w:p>
    <w:p w14:paraId="1ED42900" w14:textId="77777777" w:rsidR="002103D3" w:rsidRPr="002103D3" w:rsidRDefault="002103D3" w:rsidP="002103D3">
      <w:pPr>
        <w:rPr>
          <w:sz w:val="20"/>
        </w:rPr>
      </w:pPr>
    </w:p>
    <w:p w14:paraId="3EEAF4B5" w14:textId="77777777" w:rsidR="002103D3" w:rsidRPr="002103D3" w:rsidRDefault="002103D3" w:rsidP="002103D3">
      <w:pPr>
        <w:rPr>
          <w:sz w:val="20"/>
        </w:rPr>
      </w:pPr>
    </w:p>
    <w:p w14:paraId="51A3F1B9" w14:textId="77777777" w:rsidR="002103D3" w:rsidRPr="002103D3" w:rsidRDefault="002103D3" w:rsidP="002103D3">
      <w:pPr>
        <w:rPr>
          <w:sz w:val="20"/>
        </w:rPr>
      </w:pPr>
    </w:p>
    <w:p w14:paraId="737C38E9" w14:textId="77777777" w:rsidR="002103D3" w:rsidRPr="002103D3" w:rsidRDefault="002103D3" w:rsidP="002103D3">
      <w:pPr>
        <w:rPr>
          <w:sz w:val="20"/>
        </w:rPr>
      </w:pPr>
    </w:p>
    <w:p w14:paraId="431A2607" w14:textId="609B8567" w:rsidR="002103D3" w:rsidRPr="002103D3" w:rsidRDefault="002103D3" w:rsidP="002103D3">
      <w:pPr>
        <w:rPr>
          <w:sz w:val="20"/>
        </w:rPr>
      </w:pPr>
    </w:p>
    <w:p w14:paraId="588B5222" w14:textId="77777777" w:rsidR="002103D3" w:rsidRPr="002103D3" w:rsidRDefault="002103D3" w:rsidP="002103D3">
      <w:pPr>
        <w:rPr>
          <w:sz w:val="20"/>
        </w:rPr>
      </w:pPr>
    </w:p>
    <w:p w14:paraId="29F6AF86" w14:textId="77777777" w:rsidR="002103D3" w:rsidRPr="002103D3" w:rsidRDefault="002103D3" w:rsidP="002103D3">
      <w:pPr>
        <w:rPr>
          <w:sz w:val="20"/>
        </w:rPr>
      </w:pPr>
    </w:p>
    <w:p w14:paraId="7C9299E2" w14:textId="77777777" w:rsidR="002103D3" w:rsidRPr="002103D3" w:rsidRDefault="002103D3" w:rsidP="002103D3">
      <w:pPr>
        <w:rPr>
          <w:sz w:val="20"/>
        </w:rPr>
      </w:pPr>
    </w:p>
    <w:p w14:paraId="1DC3EFE2" w14:textId="77777777" w:rsidR="002103D3" w:rsidRPr="002103D3" w:rsidRDefault="002103D3" w:rsidP="002103D3">
      <w:pPr>
        <w:rPr>
          <w:sz w:val="20"/>
        </w:rPr>
      </w:pPr>
    </w:p>
    <w:p w14:paraId="3E24D92F" w14:textId="77777777" w:rsidR="002103D3" w:rsidRPr="002103D3" w:rsidRDefault="002103D3" w:rsidP="002103D3">
      <w:pPr>
        <w:rPr>
          <w:sz w:val="20"/>
        </w:rPr>
      </w:pPr>
    </w:p>
    <w:p w14:paraId="4C70771E" w14:textId="77777777" w:rsidR="002103D3" w:rsidRPr="002103D3" w:rsidRDefault="002103D3" w:rsidP="002103D3">
      <w:pPr>
        <w:rPr>
          <w:sz w:val="20"/>
        </w:rPr>
      </w:pPr>
    </w:p>
    <w:p w14:paraId="5778194C" w14:textId="77777777" w:rsidR="002103D3" w:rsidRPr="002103D3" w:rsidRDefault="002103D3" w:rsidP="002103D3">
      <w:pPr>
        <w:rPr>
          <w:sz w:val="20"/>
        </w:rPr>
      </w:pPr>
    </w:p>
    <w:p w14:paraId="0E1EF065" w14:textId="77777777" w:rsidR="002103D3" w:rsidRDefault="002103D3" w:rsidP="002103D3"/>
    <w:p w14:paraId="16934D16" w14:textId="77777777" w:rsidR="002103D3" w:rsidRPr="002103D3" w:rsidRDefault="002103D3" w:rsidP="002103D3">
      <w:pPr>
        <w:rPr>
          <w:sz w:val="20"/>
        </w:rPr>
      </w:pPr>
    </w:p>
    <w:p w14:paraId="038948E8" w14:textId="3F1DA3ED" w:rsidR="002103D3" w:rsidRDefault="002103D3" w:rsidP="002103D3">
      <w:pPr>
        <w:jc w:val="center"/>
      </w:pPr>
    </w:p>
    <w:p w14:paraId="0A65E957" w14:textId="77777777" w:rsidR="00067BE5" w:rsidRDefault="00067BE5" w:rsidP="00067BE5">
      <w:pPr>
        <w:tabs>
          <w:tab w:val="center" w:pos="5040"/>
        </w:tabs>
        <w:jc w:val="center"/>
        <w:rPr>
          <w:sz w:val="20"/>
        </w:rPr>
      </w:pPr>
      <w:r>
        <w:rPr>
          <w:sz w:val="20"/>
        </w:rPr>
        <w:t xml:space="preserve">DISTRIBUTION STATEMENT A. Approved for public release; distribution is unlimited. </w:t>
      </w:r>
    </w:p>
    <w:p w14:paraId="3A17B4A3" w14:textId="73792AA5" w:rsidR="002103D3" w:rsidRPr="002103D3" w:rsidRDefault="00067BE5" w:rsidP="00067BE5">
      <w:pPr>
        <w:tabs>
          <w:tab w:val="center" w:pos="5040"/>
        </w:tabs>
        <w:jc w:val="center"/>
        <w:rPr>
          <w:sz w:val="20"/>
        </w:rPr>
        <w:sectPr w:rsidR="002103D3" w:rsidRPr="002103D3" w:rsidSect="008170B5">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299"/>
        </w:sectPr>
      </w:pPr>
      <w:r>
        <w:rPr>
          <w:sz w:val="20"/>
        </w:rPr>
        <w:t>CLEARED on 7 September 2022. Case Number: 88ABW-2022-0714</w:t>
      </w:r>
      <w:bookmarkStart w:id="1" w:name="_GoBack"/>
      <w:bookmarkEnd w:id="1"/>
    </w:p>
    <w:p w14:paraId="67271384" w14:textId="77777777" w:rsidR="00955987" w:rsidRDefault="00955987" w:rsidP="00947505">
      <w:pPr>
        <w:spacing w:line="249" w:lineRule="auto"/>
        <w:rPr>
          <w:sz w:val="20"/>
        </w:rPr>
      </w:pPr>
    </w:p>
    <w:p w14:paraId="2C9F1928" w14:textId="77777777" w:rsidR="00AB03E5" w:rsidRPr="00AB03E5" w:rsidRDefault="00AB03E5" w:rsidP="00AB03E5">
      <w:pPr>
        <w:rPr>
          <w:sz w:val="20"/>
          <w:szCs w:val="18"/>
        </w:rPr>
      </w:pPr>
    </w:p>
    <w:p w14:paraId="6E94E8CC" w14:textId="77777777" w:rsidR="00AB03E5" w:rsidRPr="00AB03E5" w:rsidRDefault="00AB03E5" w:rsidP="00AB03E5">
      <w:pPr>
        <w:rPr>
          <w:sz w:val="20"/>
          <w:szCs w:val="18"/>
        </w:rPr>
      </w:pPr>
    </w:p>
    <w:p w14:paraId="61B3CF12" w14:textId="77777777" w:rsidR="00AB03E5" w:rsidRPr="00AB03E5" w:rsidRDefault="00AB03E5" w:rsidP="00AB03E5">
      <w:pPr>
        <w:spacing w:before="9"/>
        <w:rPr>
          <w:szCs w:val="18"/>
        </w:rPr>
      </w:pPr>
    </w:p>
    <w:p w14:paraId="28A8D9F6" w14:textId="3A8C2B56" w:rsidR="00AB03E5" w:rsidRPr="00AB03E5" w:rsidRDefault="00AB03E5" w:rsidP="00673A7C">
      <w:pPr>
        <w:spacing w:before="93"/>
        <w:ind w:left="3816" w:right="533"/>
        <w:rPr>
          <w:sz w:val="20"/>
          <w:szCs w:val="18"/>
        </w:rPr>
      </w:pPr>
      <w:r w:rsidRPr="00AB03E5">
        <w:rPr>
          <w:noProof/>
        </w:rPr>
        <w:drawing>
          <wp:anchor distT="0" distB="0" distL="0" distR="0" simplePos="0" relativeHeight="251659264" behindDoc="0" locked="0" layoutInCell="1" allowOverlap="1" wp14:anchorId="678FCC9A" wp14:editId="12A91866">
            <wp:simplePos x="0" y="0"/>
            <wp:positionH relativeFrom="page">
              <wp:posOffset>1325770</wp:posOffset>
            </wp:positionH>
            <wp:positionV relativeFrom="paragraph">
              <wp:posOffset>-159315</wp:posOffset>
            </wp:positionV>
            <wp:extent cx="1371600" cy="1371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Pr="00AB03E5">
        <w:rPr>
          <w:noProof/>
        </w:rPr>
        <mc:AlternateContent>
          <mc:Choice Requires="wps">
            <w:drawing>
              <wp:anchor distT="0" distB="0" distL="114300" distR="114300" simplePos="0" relativeHeight="251657216" behindDoc="0" locked="0" layoutInCell="1" allowOverlap="1" wp14:anchorId="12ADB255" wp14:editId="6F297ACE">
                <wp:simplePos x="0" y="0"/>
                <wp:positionH relativeFrom="page">
                  <wp:posOffset>2917190</wp:posOffset>
                </wp:positionH>
                <wp:positionV relativeFrom="paragraph">
                  <wp:posOffset>-252095</wp:posOffset>
                </wp:positionV>
                <wp:extent cx="0" cy="146304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7A38B6"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7pt,-19.85pt" to="229.7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" strokecolor="#231f20" strokeweight="1pt">
                <w10:wrap anchorx="page"/>
              </v:line>
            </w:pict>
          </mc:Fallback>
        </mc:AlternateContent>
      </w:r>
      <w:bookmarkStart w:id="2" w:name="_Hlk92873534"/>
      <w:r w:rsidRPr="00AB03E5">
        <w:t xml:space="preserve">The </w:t>
      </w:r>
      <w:r w:rsidR="00673A7C" w:rsidRPr="00673A7C">
        <w:t>STAT COE provides independent STAT consultation to designated acquisition programs and special projects to improve Test &amp; Evaluation (T&amp;E) rigor, effectiveness, &amp; efficiency</w:t>
      </w:r>
      <w:bookmarkEnd w:id="2"/>
      <w:r w:rsidR="00673A7C">
        <w:t>.</w:t>
      </w:r>
    </w:p>
    <w:p w14:paraId="70BE6AA3" w14:textId="77777777" w:rsidR="00AB03E5" w:rsidRPr="00AB03E5" w:rsidRDefault="00AB03E5" w:rsidP="00AB03E5">
      <w:pPr>
        <w:rPr>
          <w:sz w:val="20"/>
          <w:szCs w:val="18"/>
        </w:rPr>
      </w:pPr>
    </w:p>
    <w:p w14:paraId="540DD8DD" w14:textId="77777777" w:rsidR="00AB03E5" w:rsidRPr="00AB03E5" w:rsidRDefault="00AB03E5" w:rsidP="00AB03E5">
      <w:pPr>
        <w:rPr>
          <w:sz w:val="20"/>
          <w:szCs w:val="18"/>
        </w:rPr>
      </w:pPr>
    </w:p>
    <w:p w14:paraId="3245749F" w14:textId="77777777" w:rsidR="00AB03E5" w:rsidRPr="00AB03E5" w:rsidRDefault="00AB03E5" w:rsidP="00AB03E5">
      <w:pPr>
        <w:rPr>
          <w:sz w:val="20"/>
          <w:szCs w:val="18"/>
        </w:rPr>
      </w:pPr>
    </w:p>
    <w:p w14:paraId="2D97C58A" w14:textId="77777777" w:rsidR="00AB03E5" w:rsidRPr="00AB03E5" w:rsidRDefault="00AB03E5" w:rsidP="00AB03E5">
      <w:pPr>
        <w:rPr>
          <w:sz w:val="20"/>
          <w:szCs w:val="18"/>
        </w:rPr>
      </w:pPr>
    </w:p>
    <w:p w14:paraId="32820771" w14:textId="77777777" w:rsidR="00AB03E5" w:rsidRPr="00AB03E5" w:rsidRDefault="00AB03E5" w:rsidP="00AB03E5">
      <w:pPr>
        <w:rPr>
          <w:sz w:val="20"/>
          <w:szCs w:val="18"/>
        </w:rPr>
      </w:pPr>
    </w:p>
    <w:p w14:paraId="41643864" w14:textId="77777777" w:rsidR="00AB03E5" w:rsidRPr="00AB03E5" w:rsidRDefault="00AB03E5" w:rsidP="00AB03E5">
      <w:pPr>
        <w:rPr>
          <w:sz w:val="20"/>
          <w:szCs w:val="18"/>
        </w:rPr>
      </w:pPr>
    </w:p>
    <w:p w14:paraId="3CD432F7" w14:textId="77777777" w:rsidR="00AB03E5" w:rsidRPr="00AB03E5" w:rsidRDefault="00AB03E5" w:rsidP="00AB03E5">
      <w:pPr>
        <w:rPr>
          <w:sz w:val="20"/>
          <w:szCs w:val="18"/>
        </w:rPr>
      </w:pPr>
    </w:p>
    <w:p w14:paraId="33B3F104" w14:textId="77777777" w:rsidR="00AB03E5" w:rsidRPr="00AB03E5" w:rsidRDefault="00AB03E5" w:rsidP="00AB03E5">
      <w:pPr>
        <w:rPr>
          <w:sz w:val="20"/>
          <w:szCs w:val="18"/>
        </w:rPr>
      </w:pPr>
    </w:p>
    <w:p w14:paraId="193204A4" w14:textId="77777777" w:rsidR="00AB03E5" w:rsidRPr="00AB03E5" w:rsidRDefault="00AB03E5" w:rsidP="00AB03E5">
      <w:pPr>
        <w:rPr>
          <w:sz w:val="20"/>
          <w:szCs w:val="18"/>
        </w:rPr>
      </w:pPr>
    </w:p>
    <w:p w14:paraId="2EE8C76B" w14:textId="77777777" w:rsidR="00AB03E5" w:rsidRPr="00AB03E5" w:rsidRDefault="00AB03E5" w:rsidP="00AB03E5">
      <w:pPr>
        <w:rPr>
          <w:sz w:val="20"/>
          <w:szCs w:val="18"/>
        </w:rPr>
      </w:pPr>
    </w:p>
    <w:p w14:paraId="3337246C" w14:textId="77777777" w:rsidR="00AB03E5" w:rsidRPr="00AB03E5" w:rsidRDefault="00AB03E5" w:rsidP="00AB03E5">
      <w:pPr>
        <w:spacing w:before="10"/>
        <w:rPr>
          <w:sz w:val="28"/>
          <w:szCs w:val="18"/>
        </w:rPr>
      </w:pPr>
    </w:p>
    <w:p w14:paraId="657D00D3" w14:textId="77777777" w:rsidR="00AB03E5" w:rsidRPr="00AB03E5" w:rsidRDefault="00AB03E5" w:rsidP="007B07F8">
      <w:pPr>
        <w:spacing w:before="94"/>
        <w:ind w:left="559"/>
        <w:rPr>
          <w:sz w:val="18"/>
          <w:szCs w:val="18"/>
        </w:rPr>
      </w:pPr>
      <w:r w:rsidRPr="00AB03E5">
        <w:rPr>
          <w:sz w:val="18"/>
          <w:szCs w:val="18"/>
        </w:rPr>
        <w:t>About this Publication:</w:t>
      </w:r>
    </w:p>
    <w:p w14:paraId="54D555C3" w14:textId="1BC9BB30" w:rsidR="00CB4475" w:rsidRPr="00AB03E5" w:rsidRDefault="00AB03E5" w:rsidP="007B07F8">
      <w:pPr>
        <w:spacing w:before="9"/>
        <w:ind w:left="559" w:right="106"/>
        <w:rPr>
          <w:sz w:val="18"/>
          <w:szCs w:val="18"/>
        </w:rPr>
      </w:pPr>
      <w:r w:rsidRPr="00AB03E5">
        <w:rPr>
          <w:sz w:val="18"/>
          <w:szCs w:val="18"/>
        </w:rPr>
        <w:t xml:space="preserve">This work was conducted by the Scientific Test &amp; Analysis Techniques Center of Excellence under contract </w:t>
      </w:r>
      <w:r w:rsidR="00CB4475">
        <w:rPr>
          <w:sz w:val="18"/>
          <w:szCs w:val="18"/>
        </w:rPr>
        <w:t>FA8075-18-D-0002</w:t>
      </w:r>
      <w:r w:rsidR="00EC6BEF">
        <w:rPr>
          <w:sz w:val="18"/>
          <w:szCs w:val="18"/>
        </w:rPr>
        <w:t>,</w:t>
      </w:r>
      <w:r w:rsidR="00CB4475">
        <w:rPr>
          <w:sz w:val="18"/>
          <w:szCs w:val="18"/>
        </w:rPr>
        <w:t xml:space="preserve"> Task FA8075-21-F-0074</w:t>
      </w:r>
      <w:r w:rsidR="008170B5">
        <w:rPr>
          <w:sz w:val="18"/>
          <w:szCs w:val="18"/>
        </w:rPr>
        <w:t>.</w:t>
      </w:r>
      <w:r w:rsidR="00CB4475">
        <w:rPr>
          <w:sz w:val="18"/>
          <w:szCs w:val="18"/>
        </w:rPr>
        <w:br/>
      </w:r>
      <w:r w:rsidR="00CB4475" w:rsidRPr="00AB03E5">
        <w:rPr>
          <w:sz w:val="18"/>
          <w:szCs w:val="18"/>
        </w:rPr>
        <w:t xml:space="preserve"> </w:t>
      </w:r>
    </w:p>
    <w:p w14:paraId="0F9C8888" w14:textId="1478176F" w:rsidR="00AB03E5" w:rsidRPr="00AB03E5" w:rsidRDefault="00AB03E5" w:rsidP="007B07F8">
      <w:pPr>
        <w:ind w:left="559"/>
        <w:rPr>
          <w:sz w:val="18"/>
          <w:szCs w:val="18"/>
        </w:rPr>
      </w:pPr>
      <w:r w:rsidRPr="00AB03E5">
        <w:rPr>
          <w:sz w:val="18"/>
          <w:szCs w:val="18"/>
        </w:rPr>
        <w:t>For</w:t>
      </w:r>
      <w:r w:rsidRPr="00AB03E5">
        <w:rPr>
          <w:spacing w:val="-4"/>
          <w:sz w:val="18"/>
          <w:szCs w:val="18"/>
        </w:rPr>
        <w:t xml:space="preserve"> </w:t>
      </w:r>
      <w:r w:rsidRPr="00AB03E5">
        <w:rPr>
          <w:sz w:val="18"/>
          <w:szCs w:val="18"/>
        </w:rPr>
        <w:t>more</w:t>
      </w:r>
      <w:r w:rsidRPr="00AB03E5">
        <w:rPr>
          <w:spacing w:val="-4"/>
          <w:sz w:val="18"/>
          <w:szCs w:val="18"/>
        </w:rPr>
        <w:t xml:space="preserve"> </w:t>
      </w:r>
      <w:r w:rsidRPr="00AB03E5">
        <w:rPr>
          <w:sz w:val="18"/>
          <w:szCs w:val="18"/>
        </w:rPr>
        <w:t>information:</w:t>
      </w:r>
      <w:r w:rsidR="00CB4475">
        <w:rPr>
          <w:sz w:val="18"/>
          <w:szCs w:val="18"/>
        </w:rPr>
        <w:softHyphen/>
      </w:r>
      <w:r w:rsidR="00CB4475">
        <w:rPr>
          <w:sz w:val="18"/>
          <w:szCs w:val="18"/>
        </w:rPr>
        <w:softHyphen/>
      </w:r>
      <w:r w:rsidRPr="00CB4475">
        <w:rPr>
          <w:sz w:val="18"/>
          <w:szCs w:val="18"/>
        </w:rPr>
        <w:br/>
      </w:r>
      <w:r w:rsidRPr="00AB03E5">
        <w:rPr>
          <w:sz w:val="18"/>
          <w:szCs w:val="18"/>
        </w:rPr>
        <w:t xml:space="preserve">Visit, </w:t>
      </w:r>
      <w:hyperlink r:id="rId17" w:history="1">
        <w:r w:rsidRPr="00AB03E5">
          <w:rPr>
            <w:color w:val="0000FF"/>
            <w:sz w:val="18"/>
            <w:szCs w:val="18"/>
            <w:u w:val="single"/>
          </w:rPr>
          <w:t>www.AFIT.edu/STAT</w:t>
        </w:r>
      </w:hyperlink>
      <w:r w:rsidRPr="00AB03E5">
        <w:rPr>
          <w:sz w:val="18"/>
          <w:szCs w:val="18"/>
        </w:rPr>
        <w:br/>
        <w:t xml:space="preserve">Email, </w:t>
      </w:r>
      <w:hyperlink r:id="rId18" w:history="1">
        <w:r w:rsidRPr="00AB03E5">
          <w:rPr>
            <w:color w:val="0000FF"/>
            <w:sz w:val="18"/>
            <w:szCs w:val="18"/>
            <w:u w:val="single"/>
          </w:rPr>
          <w:t>CoE@afit.edu</w:t>
        </w:r>
      </w:hyperlink>
      <w:r w:rsidRPr="00AB03E5">
        <w:rPr>
          <w:sz w:val="18"/>
          <w:szCs w:val="18"/>
        </w:rPr>
        <w:br/>
        <w:t>Call, 937-255-3636 x4736</w:t>
      </w:r>
    </w:p>
    <w:p w14:paraId="032E861A" w14:textId="77777777" w:rsidR="00AB03E5" w:rsidRPr="00AB03E5" w:rsidRDefault="00AB03E5" w:rsidP="007B07F8">
      <w:pPr>
        <w:rPr>
          <w:sz w:val="18"/>
          <w:szCs w:val="18"/>
        </w:rPr>
      </w:pPr>
    </w:p>
    <w:p w14:paraId="2ADB4BDE" w14:textId="77777777" w:rsidR="00AB03E5" w:rsidRPr="00AB03E5" w:rsidRDefault="00AB03E5" w:rsidP="007B07F8">
      <w:pPr>
        <w:ind w:left="559"/>
        <w:rPr>
          <w:color w:val="auto"/>
          <w:sz w:val="18"/>
          <w:szCs w:val="18"/>
        </w:rPr>
      </w:pPr>
      <w:r w:rsidRPr="00AB03E5">
        <w:rPr>
          <w:color w:val="auto"/>
          <w:sz w:val="18"/>
          <w:szCs w:val="18"/>
        </w:rPr>
        <w:t>Copyright</w:t>
      </w:r>
      <w:r w:rsidRPr="00AB03E5">
        <w:rPr>
          <w:color w:val="auto"/>
          <w:spacing w:val="-8"/>
          <w:sz w:val="18"/>
          <w:szCs w:val="18"/>
        </w:rPr>
        <w:t xml:space="preserve"> </w:t>
      </w:r>
      <w:r w:rsidRPr="00AB03E5">
        <w:rPr>
          <w:color w:val="auto"/>
          <w:sz w:val="18"/>
          <w:szCs w:val="18"/>
        </w:rPr>
        <w:t>Notice: No Rights Reserved</w:t>
      </w:r>
    </w:p>
    <w:p w14:paraId="39FA54E0" w14:textId="0EA7F0D6" w:rsidR="00AB03E5" w:rsidRDefault="00AB03E5" w:rsidP="007B07F8">
      <w:pPr>
        <w:ind w:left="559"/>
        <w:rPr>
          <w:color w:val="auto"/>
          <w:sz w:val="18"/>
          <w:szCs w:val="18"/>
        </w:rPr>
      </w:pPr>
      <w:r w:rsidRPr="00AB03E5">
        <w:rPr>
          <w:color w:val="auto"/>
          <w:sz w:val="18"/>
          <w:szCs w:val="18"/>
        </w:rPr>
        <w:t>Scientific Test &amp; Analysis Techniques Center of Excellence</w:t>
      </w:r>
      <w:r w:rsidRPr="00AB03E5">
        <w:rPr>
          <w:color w:val="auto"/>
          <w:sz w:val="18"/>
          <w:szCs w:val="18"/>
        </w:rPr>
        <w:br/>
        <w:t xml:space="preserve">2950 Hobson Way </w:t>
      </w:r>
      <w:r w:rsidR="00F33B3D">
        <w:rPr>
          <w:color w:val="auto"/>
          <w:sz w:val="18"/>
          <w:szCs w:val="18"/>
        </w:rPr>
        <w:br/>
      </w:r>
      <w:r w:rsidRPr="00AB03E5">
        <w:rPr>
          <w:color w:val="auto"/>
          <w:sz w:val="18"/>
          <w:szCs w:val="18"/>
        </w:rPr>
        <w:t>Wright</w:t>
      </w:r>
      <w:r w:rsidR="007B07F8">
        <w:rPr>
          <w:color w:val="auto"/>
          <w:sz w:val="18"/>
          <w:szCs w:val="18"/>
        </w:rPr>
        <w:t>-Patterson Air Force Base, Ohio</w:t>
      </w:r>
    </w:p>
    <w:p w14:paraId="5BCEEA21" w14:textId="6F9A0C1C" w:rsidR="007B07F8" w:rsidRDefault="007B07F8" w:rsidP="007B07F8">
      <w:pPr>
        <w:ind w:left="559"/>
        <w:rPr>
          <w:color w:val="auto"/>
          <w:sz w:val="18"/>
          <w:szCs w:val="18"/>
        </w:rPr>
      </w:pPr>
    </w:p>
    <w:p w14:paraId="03CF70C8" w14:textId="67515C4C" w:rsidR="007B07F8" w:rsidRDefault="007B07F8" w:rsidP="007B07F8">
      <w:pPr>
        <w:ind w:left="559"/>
        <w:contextualSpacing/>
        <w:rPr>
          <w:color w:val="auto"/>
          <w:sz w:val="18"/>
          <w:szCs w:val="18"/>
        </w:rPr>
      </w:pPr>
      <w:r>
        <w:rPr>
          <w:color w:val="auto"/>
          <w:sz w:val="18"/>
          <w:szCs w:val="18"/>
        </w:rPr>
        <w:t>The views expressed are those of the author(s) and do not necessarily reflect the official policy or position of the Department of the Air Force, the Department of Defense, or the U.S. government.</w:t>
      </w:r>
    </w:p>
    <w:p w14:paraId="18B3A393" w14:textId="4635FF7E" w:rsidR="00CB4475" w:rsidRDefault="00CB4475" w:rsidP="007B07F8">
      <w:pPr>
        <w:ind w:left="559"/>
        <w:rPr>
          <w:color w:val="auto"/>
          <w:sz w:val="18"/>
          <w:szCs w:val="18"/>
        </w:rPr>
      </w:pPr>
    </w:p>
    <w:p w14:paraId="20976642" w14:textId="00C284AC" w:rsidR="00CB4475" w:rsidRPr="00AB03E5" w:rsidRDefault="00CB4475" w:rsidP="007B07F8">
      <w:pPr>
        <w:ind w:left="559"/>
        <w:rPr>
          <w:color w:val="auto"/>
          <w:sz w:val="18"/>
          <w:szCs w:val="18"/>
        </w:rPr>
      </w:pPr>
      <w:r>
        <w:rPr>
          <w:color w:val="auto"/>
          <w:sz w:val="18"/>
          <w:szCs w:val="18"/>
        </w:rPr>
        <w:t xml:space="preserve">Version: </w:t>
      </w:r>
      <w:r w:rsidR="005A4ECF">
        <w:rPr>
          <w:color w:val="auto"/>
          <w:sz w:val="18"/>
          <w:szCs w:val="18"/>
        </w:rPr>
        <w:t>2</w:t>
      </w:r>
      <w:r>
        <w:rPr>
          <w:color w:val="auto"/>
          <w:sz w:val="18"/>
          <w:szCs w:val="18"/>
        </w:rPr>
        <w:t>, FY22</w:t>
      </w:r>
    </w:p>
    <w:p w14:paraId="5396DBF5" w14:textId="77777777" w:rsidR="00AB03E5" w:rsidRPr="00AB03E5" w:rsidRDefault="00AB03E5" w:rsidP="007B07F8">
      <w:pPr>
        <w:rPr>
          <w:color w:val="auto"/>
          <w:sz w:val="18"/>
          <w:szCs w:val="18"/>
        </w:rPr>
      </w:pPr>
    </w:p>
    <w:p w14:paraId="5D8123E3" w14:textId="77777777" w:rsidR="00AB03E5" w:rsidRPr="00AB03E5" w:rsidRDefault="00AB03E5" w:rsidP="00AB03E5">
      <w:pPr>
        <w:rPr>
          <w:sz w:val="20"/>
          <w:szCs w:val="18"/>
        </w:rPr>
      </w:pPr>
    </w:p>
    <w:p w14:paraId="51BB5B90" w14:textId="77777777" w:rsidR="00AB03E5" w:rsidRPr="00AB03E5" w:rsidRDefault="00AB03E5" w:rsidP="00AB03E5">
      <w:pPr>
        <w:rPr>
          <w:sz w:val="20"/>
          <w:szCs w:val="18"/>
        </w:rPr>
      </w:pPr>
    </w:p>
    <w:p w14:paraId="1BB485C5" w14:textId="77777777" w:rsidR="00AB03E5" w:rsidRPr="00AB03E5" w:rsidRDefault="00AB03E5" w:rsidP="00AB03E5">
      <w:pPr>
        <w:rPr>
          <w:sz w:val="20"/>
          <w:szCs w:val="18"/>
        </w:rPr>
      </w:pPr>
    </w:p>
    <w:p w14:paraId="777CA3F7" w14:textId="77777777" w:rsidR="00AB03E5" w:rsidRPr="00AB03E5" w:rsidRDefault="00AB03E5" w:rsidP="00AB03E5">
      <w:pPr>
        <w:rPr>
          <w:sz w:val="20"/>
          <w:szCs w:val="18"/>
        </w:rPr>
      </w:pPr>
    </w:p>
    <w:p w14:paraId="03AB2CED" w14:textId="77777777" w:rsidR="00AB03E5" w:rsidRPr="00AB03E5" w:rsidRDefault="00AB03E5" w:rsidP="00AB03E5">
      <w:pPr>
        <w:rPr>
          <w:sz w:val="20"/>
          <w:szCs w:val="18"/>
        </w:rPr>
      </w:pPr>
    </w:p>
    <w:p w14:paraId="58E72CAE" w14:textId="77777777" w:rsidR="00AB03E5" w:rsidRPr="00AB03E5" w:rsidRDefault="00AB03E5" w:rsidP="00AB03E5">
      <w:pPr>
        <w:rPr>
          <w:sz w:val="20"/>
          <w:szCs w:val="18"/>
        </w:rPr>
      </w:pPr>
    </w:p>
    <w:p w14:paraId="37A9EBF9" w14:textId="475AF000" w:rsidR="00AB03E5" w:rsidRPr="00AB03E5" w:rsidRDefault="00AB03E5" w:rsidP="00AB03E5">
      <w:pPr>
        <w:rPr>
          <w:sz w:val="20"/>
          <w:szCs w:val="18"/>
        </w:rPr>
      </w:pPr>
    </w:p>
    <w:p w14:paraId="0CCE845B" w14:textId="18D49E4D" w:rsidR="00AB03E5" w:rsidRPr="00AB03E5" w:rsidRDefault="00AB03E5" w:rsidP="00C83626">
      <w:pPr>
        <w:tabs>
          <w:tab w:val="left" w:pos="9159"/>
        </w:tabs>
        <w:rPr>
          <w:sz w:val="20"/>
          <w:szCs w:val="18"/>
        </w:rPr>
      </w:pPr>
    </w:p>
    <w:p w14:paraId="69B842D1" w14:textId="09F00F3E" w:rsidR="00AB03E5" w:rsidRDefault="00AB03E5" w:rsidP="00AB03E5">
      <w:pPr>
        <w:rPr>
          <w:sz w:val="20"/>
          <w:szCs w:val="18"/>
        </w:rPr>
      </w:pPr>
    </w:p>
    <w:p w14:paraId="5985721F" w14:textId="56AFDE00" w:rsidR="00C34B07" w:rsidRDefault="00C34B07" w:rsidP="00AB03E5">
      <w:pPr>
        <w:rPr>
          <w:sz w:val="20"/>
          <w:szCs w:val="18"/>
        </w:rPr>
      </w:pPr>
    </w:p>
    <w:p w14:paraId="33E48B14" w14:textId="11185949" w:rsidR="00C34B07" w:rsidRDefault="00C34B07" w:rsidP="00AB03E5">
      <w:pPr>
        <w:rPr>
          <w:sz w:val="20"/>
          <w:szCs w:val="18"/>
        </w:rPr>
      </w:pPr>
    </w:p>
    <w:p w14:paraId="76656496" w14:textId="631AFA3D" w:rsidR="00C34B07" w:rsidRDefault="00C34B07" w:rsidP="00AB03E5">
      <w:pPr>
        <w:rPr>
          <w:sz w:val="20"/>
          <w:szCs w:val="18"/>
        </w:rPr>
      </w:pPr>
    </w:p>
    <w:p w14:paraId="64AEA679" w14:textId="3B5FCA53" w:rsidR="00AB03E5" w:rsidRPr="00AB03E5" w:rsidRDefault="00AB03E5" w:rsidP="00AB03E5">
      <w:pPr>
        <w:rPr>
          <w:sz w:val="20"/>
          <w:szCs w:val="18"/>
        </w:rPr>
      </w:pPr>
    </w:p>
    <w:p w14:paraId="6A6CEDE6" w14:textId="5ADA7CA4" w:rsidR="00AB03E5" w:rsidRDefault="00C83626" w:rsidP="007B07F8">
      <w:pPr>
        <w:rPr>
          <w:color w:val="FF0000"/>
          <w:sz w:val="36"/>
        </w:rPr>
      </w:pPr>
      <w:r w:rsidRPr="00C83626">
        <w:rPr>
          <w:color w:val="FF0000"/>
          <w:sz w:val="36"/>
        </w:rPr>
        <w:t xml:space="preserve"> </w:t>
      </w:r>
    </w:p>
    <w:p w14:paraId="084877E2" w14:textId="11551FAB" w:rsidR="00CB4475" w:rsidRDefault="007B07F8" w:rsidP="00C34B07">
      <w:pPr>
        <w:jc w:val="center"/>
        <w:rPr>
          <w:color w:val="FF0000"/>
          <w:sz w:val="36"/>
        </w:rPr>
      </w:pPr>
      <w:r w:rsidRPr="00C83626">
        <w:rPr>
          <w:noProof/>
        </w:rPr>
        <w:drawing>
          <wp:inline distT="0" distB="0" distL="0" distR="0" wp14:anchorId="09ACADFA" wp14:editId="02794BBD">
            <wp:extent cx="5943600" cy="2432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43205"/>
                    </a:xfrm>
                    <a:prstGeom prst="rect">
                      <a:avLst/>
                    </a:prstGeom>
                    <a:noFill/>
                    <a:ln>
                      <a:noFill/>
                    </a:ln>
                  </pic:spPr>
                </pic:pic>
              </a:graphicData>
            </a:graphic>
          </wp:inline>
        </w:drawing>
      </w:r>
    </w:p>
    <w:p w14:paraId="730DC97B" w14:textId="77777777" w:rsidR="00CB4475" w:rsidRDefault="00CB4475" w:rsidP="00C34B07">
      <w:pPr>
        <w:jc w:val="center"/>
        <w:rPr>
          <w:color w:val="FF0000"/>
          <w:sz w:val="36"/>
        </w:rPr>
        <w:sectPr w:rsidR="00CB4475" w:rsidSect="005477E4">
          <w:pgSz w:w="12240" w:h="15840"/>
          <w:pgMar w:top="1440" w:right="1440" w:bottom="1440" w:left="1440" w:header="720" w:footer="720" w:gutter="0"/>
          <w:pgNumType w:start="1"/>
          <w:cols w:space="720"/>
          <w:titlePg/>
          <w:docGrid w:linePitch="299"/>
        </w:sectPr>
      </w:pPr>
    </w:p>
    <w:p w14:paraId="266C44B3" w14:textId="77777777" w:rsidR="00CB4475" w:rsidRDefault="00CB4475" w:rsidP="00CB4475">
      <w:pPr>
        <w:pStyle w:val="APALevelHeading2"/>
        <w:contextualSpacing/>
        <w:rPr>
          <w:sz w:val="20"/>
          <w:szCs w:val="20"/>
        </w:rPr>
      </w:pPr>
      <w:bookmarkStart w:id="3" w:name="_Toc111627590"/>
      <w:r w:rsidRPr="00B21350">
        <w:rPr>
          <w:rFonts w:cs="Arial"/>
          <w:sz w:val="24"/>
          <w:szCs w:val="24"/>
        </w:rPr>
        <w:lastRenderedPageBreak/>
        <w:t>Executive Summary</w:t>
      </w:r>
      <w:bookmarkEnd w:id="3"/>
    </w:p>
    <w:p w14:paraId="2277BBA3" w14:textId="65373E28" w:rsidR="003F3FCB" w:rsidRDefault="003F3FCB" w:rsidP="00F32574">
      <w:pPr>
        <w:contextualSpacing/>
        <w:rPr>
          <w:rStyle w:val="Strong"/>
          <w:b w:val="0"/>
          <w:noProof/>
          <w:color w:val="222222"/>
          <w:szCs w:val="24"/>
          <w:shd w:val="clear" w:color="auto" w:fill="FFFFFF"/>
        </w:rPr>
      </w:pPr>
    </w:p>
    <w:p w14:paraId="1758AA43" w14:textId="6B7CF7EB" w:rsidR="003F3FCB" w:rsidRDefault="003F3FCB" w:rsidP="00F32574">
      <w:pPr>
        <w:contextualSpacing/>
      </w:pPr>
      <w:r>
        <w:rPr>
          <w:rStyle w:val="Strong"/>
          <w:b w:val="0"/>
          <w:noProof/>
          <w:color w:val="222222"/>
          <w:szCs w:val="24"/>
          <w:shd w:val="clear" w:color="auto" w:fill="FFFFFF"/>
        </w:rPr>
        <w:t xml:space="preserve">As the Department of Defense (DOD) seeks to increasingly leverage Modeling and Simulation (M&amp;S) in the development of weapons systems, it is becoming progressively more important for models to be </w:t>
      </w:r>
      <w:r w:rsidR="001475E9">
        <w:rPr>
          <w:rStyle w:val="Strong"/>
          <w:b w:val="0"/>
          <w:noProof/>
          <w:color w:val="222222"/>
          <w:szCs w:val="24"/>
          <w:shd w:val="clear" w:color="auto" w:fill="FFFFFF"/>
        </w:rPr>
        <w:t>well understood and well vetted for use</w:t>
      </w:r>
      <w:r w:rsidR="001067A4">
        <w:rPr>
          <w:rStyle w:val="Strong"/>
          <w:b w:val="0"/>
          <w:noProof/>
          <w:color w:val="222222"/>
          <w:szCs w:val="24"/>
          <w:shd w:val="clear" w:color="auto" w:fill="FFFFFF"/>
        </w:rPr>
        <w:t xml:space="preserve"> in order to mitigate the risks posed</w:t>
      </w:r>
      <w:r w:rsidR="001475E9">
        <w:rPr>
          <w:rStyle w:val="Strong"/>
          <w:b w:val="0"/>
          <w:noProof/>
          <w:color w:val="222222"/>
          <w:szCs w:val="24"/>
          <w:shd w:val="clear" w:color="auto" w:fill="FFFFFF"/>
        </w:rPr>
        <w:t xml:space="preserve"> by relying on inaccurate, insufficient, or incorrectly applied models. Validation is intended as an assessment process to establish trust in models. However, validation criteria </w:t>
      </w:r>
      <w:r w:rsidR="006D3AF1">
        <w:rPr>
          <w:rStyle w:val="Strong"/>
          <w:b w:val="0"/>
          <w:noProof/>
          <w:color w:val="222222"/>
          <w:szCs w:val="24"/>
          <w:shd w:val="clear" w:color="auto" w:fill="FFFFFF"/>
        </w:rPr>
        <w:t>is</w:t>
      </w:r>
      <w:r w:rsidR="001475E9">
        <w:rPr>
          <w:rStyle w:val="Strong"/>
          <w:b w:val="0"/>
          <w:noProof/>
          <w:color w:val="222222"/>
          <w:szCs w:val="24"/>
          <w:shd w:val="clear" w:color="auto" w:fill="FFFFFF"/>
        </w:rPr>
        <w:t xml:space="preserve"> often subjective</w:t>
      </w:r>
      <w:r w:rsidR="006D3AF1">
        <w:rPr>
          <w:rStyle w:val="Strong"/>
          <w:b w:val="0"/>
          <w:noProof/>
          <w:color w:val="222222"/>
          <w:szCs w:val="24"/>
          <w:shd w:val="clear" w:color="auto" w:fill="FFFFFF"/>
        </w:rPr>
        <w:t>, and is</w:t>
      </w:r>
      <w:r w:rsidR="005558A1">
        <w:rPr>
          <w:rStyle w:val="Strong"/>
          <w:b w:val="0"/>
          <w:noProof/>
          <w:color w:val="222222"/>
          <w:szCs w:val="24"/>
          <w:shd w:val="clear" w:color="auto" w:fill="FFFFFF"/>
        </w:rPr>
        <w:t xml:space="preserve"> </w:t>
      </w:r>
      <w:r w:rsidR="00784013">
        <w:rPr>
          <w:rStyle w:val="Strong"/>
          <w:b w:val="0"/>
          <w:noProof/>
          <w:color w:val="222222"/>
          <w:szCs w:val="24"/>
          <w:shd w:val="clear" w:color="auto" w:fill="FFFFFF"/>
        </w:rPr>
        <w:t>defined only to support a pass-fail understanding of validity at static points in time. This fails to provide a proper understanding of validity as requirements change, mission scope is redefined, n</w:t>
      </w:r>
      <w:r w:rsidR="006D3AF1">
        <w:rPr>
          <w:rStyle w:val="Strong"/>
          <w:b w:val="0"/>
          <w:noProof/>
          <w:color w:val="222222"/>
          <w:szCs w:val="24"/>
          <w:shd w:val="clear" w:color="auto" w:fill="FFFFFF"/>
        </w:rPr>
        <w:t>e</w:t>
      </w:r>
      <w:r w:rsidR="00784013">
        <w:rPr>
          <w:rStyle w:val="Strong"/>
          <w:b w:val="0"/>
          <w:noProof/>
          <w:color w:val="222222"/>
          <w:szCs w:val="24"/>
          <w:shd w:val="clear" w:color="auto" w:fill="FFFFFF"/>
        </w:rPr>
        <w:t xml:space="preserve">w data is collected, or models are adapted to </w:t>
      </w:r>
      <w:r w:rsidR="005558A1">
        <w:rPr>
          <w:rStyle w:val="Strong"/>
          <w:b w:val="0"/>
          <w:noProof/>
          <w:color w:val="222222"/>
          <w:szCs w:val="24"/>
          <w:shd w:val="clear" w:color="auto" w:fill="FFFFFF"/>
        </w:rPr>
        <w:t xml:space="preserve">a </w:t>
      </w:r>
      <w:r w:rsidR="00784013">
        <w:rPr>
          <w:rStyle w:val="Strong"/>
          <w:b w:val="0"/>
          <w:noProof/>
          <w:color w:val="222222"/>
          <w:szCs w:val="24"/>
          <w:shd w:val="clear" w:color="auto" w:fill="FFFFFF"/>
        </w:rPr>
        <w:t xml:space="preserve">new use. The metrics discussed here provide a rigorous, objective method to evaluate the trust that can be placed in a model according </w:t>
      </w:r>
      <w:r w:rsidR="00784013">
        <w:t xml:space="preserve">to fidelity, appropriate referents, and the specific intended use. These three pillars of validation will factor into a Model Validation Level (MVL), which will </w:t>
      </w:r>
      <w:r w:rsidR="00D64146">
        <w:t xml:space="preserve">enable </w:t>
      </w:r>
      <w:r w:rsidR="00784013" w:rsidRPr="009771C3">
        <w:rPr>
          <w:rStyle w:val="Strong"/>
          <w:b w:val="0"/>
          <w:noProof/>
          <w:color w:val="222222"/>
          <w:szCs w:val="24"/>
          <w:shd w:val="clear" w:color="auto" w:fill="FFFFFF"/>
        </w:rPr>
        <w:t xml:space="preserve">M&amp;S </w:t>
      </w:r>
      <w:r w:rsidR="00784013">
        <w:rPr>
          <w:rStyle w:val="Strong"/>
          <w:b w:val="0"/>
          <w:noProof/>
          <w:color w:val="222222"/>
          <w:szCs w:val="24"/>
          <w:shd w:val="clear" w:color="auto" w:fill="FFFFFF"/>
        </w:rPr>
        <w:t xml:space="preserve">to be employed </w:t>
      </w:r>
      <w:r w:rsidR="00784013" w:rsidRPr="009771C3">
        <w:rPr>
          <w:rStyle w:val="Strong"/>
          <w:b w:val="0"/>
          <w:noProof/>
          <w:color w:val="222222"/>
          <w:szCs w:val="24"/>
          <w:shd w:val="clear" w:color="auto" w:fill="FFFFFF"/>
        </w:rPr>
        <w:t>in the engineering of complex defense systems</w:t>
      </w:r>
      <w:r w:rsidR="00784013">
        <w:rPr>
          <w:rStyle w:val="Strong"/>
          <w:b w:val="0"/>
          <w:noProof/>
          <w:color w:val="222222"/>
          <w:szCs w:val="24"/>
          <w:shd w:val="clear" w:color="auto" w:fill="FFFFFF"/>
        </w:rPr>
        <w:t xml:space="preserve"> </w:t>
      </w:r>
      <w:r w:rsidR="00784013">
        <w:t>with full comprehension of model capabilities and risk</w:t>
      </w:r>
      <w:r w:rsidR="00784013" w:rsidRPr="009771C3">
        <w:rPr>
          <w:rStyle w:val="Strong"/>
          <w:b w:val="0"/>
          <w:noProof/>
          <w:color w:val="222222"/>
          <w:szCs w:val="24"/>
          <w:shd w:val="clear" w:color="auto" w:fill="FFFFFF"/>
        </w:rPr>
        <w:t>.</w:t>
      </w:r>
    </w:p>
    <w:p w14:paraId="55439C1C" w14:textId="77777777" w:rsidR="00F32574" w:rsidRPr="00BC6524" w:rsidRDefault="00F32574" w:rsidP="00F32574">
      <w:pPr>
        <w:contextualSpacing/>
        <w:rPr>
          <w:rStyle w:val="Strong"/>
          <w:b w:val="0"/>
          <w:i/>
          <w:noProof/>
          <w:color w:val="222222"/>
          <w:shd w:val="clear" w:color="auto" w:fill="FFFFFF"/>
        </w:rPr>
      </w:pPr>
    </w:p>
    <w:p w14:paraId="1DC8B278" w14:textId="2F23B847" w:rsidR="00F32574" w:rsidRPr="00BC6524" w:rsidRDefault="00F32574" w:rsidP="00F32574">
      <w:pPr>
        <w:pStyle w:val="BodyText"/>
        <w:ind w:firstLine="720"/>
        <w:contextualSpacing/>
        <w:rPr>
          <w:rStyle w:val="Strong"/>
          <w:b w:val="0"/>
          <w:bCs w:val="0"/>
          <w:i/>
          <w:szCs w:val="22"/>
        </w:rPr>
      </w:pPr>
      <w:r w:rsidRPr="00BC6524">
        <w:rPr>
          <w:rStyle w:val="Strong"/>
          <w:b w:val="0"/>
          <w:bCs w:val="0"/>
          <w:i/>
          <w:szCs w:val="22"/>
        </w:rPr>
        <w:t xml:space="preserve">Keywords: </w:t>
      </w:r>
      <w:r>
        <w:rPr>
          <w:rStyle w:val="Strong"/>
          <w:b w:val="0"/>
          <w:bCs w:val="0"/>
          <w:i/>
          <w:szCs w:val="22"/>
        </w:rPr>
        <w:t>Digital Engineering, Modeling &amp; S</w:t>
      </w:r>
      <w:r w:rsidR="00784013">
        <w:rPr>
          <w:rStyle w:val="Strong"/>
          <w:b w:val="0"/>
          <w:bCs w:val="0"/>
          <w:i/>
          <w:szCs w:val="22"/>
        </w:rPr>
        <w:t>imulation, Validation</w:t>
      </w:r>
    </w:p>
    <w:p w14:paraId="438C06C9" w14:textId="44F6F148" w:rsidR="00CB4475" w:rsidRPr="000A06DC" w:rsidRDefault="00CB4475" w:rsidP="00CB4475">
      <w:pPr>
        <w:jc w:val="center"/>
        <w:rPr>
          <w:color w:val="FF0000"/>
          <w:sz w:val="36"/>
        </w:rPr>
        <w:sectPr w:rsidR="00CB4475" w:rsidRPr="000A06DC" w:rsidSect="00E527D6">
          <w:pgSz w:w="12240" w:h="15840"/>
          <w:pgMar w:top="1440" w:right="1440" w:bottom="1440" w:left="1440" w:header="720" w:footer="720" w:gutter="0"/>
          <w:pgNumType w:fmt="lowerRoman" w:start="1"/>
          <w:cols w:space="720"/>
          <w:titlePg/>
          <w:docGrid w:linePitch="299"/>
        </w:sectPr>
      </w:pPr>
      <w:r>
        <w:rPr>
          <w:sz w:val="24"/>
          <w:szCs w:val="24"/>
        </w:rPr>
        <w:br w:type="page"/>
      </w:r>
    </w:p>
    <w:p w14:paraId="7C56826E" w14:textId="77777777" w:rsidR="00AB03E5" w:rsidRDefault="00AB03E5" w:rsidP="00AB03E5">
      <w:pPr>
        <w:jc w:val="center"/>
        <w:rPr>
          <w:b/>
          <w:bCs/>
        </w:rPr>
      </w:pPr>
      <w:r>
        <w:rPr>
          <w:b/>
          <w:bCs/>
        </w:rPr>
        <w:lastRenderedPageBreak/>
        <w:t>Table of Contents</w:t>
      </w:r>
    </w:p>
    <w:p w14:paraId="403CF8CE" w14:textId="1E64A5F7" w:rsidR="00E527D6" w:rsidRDefault="00F33B3D">
      <w:pPr>
        <w:pStyle w:val="TOC1"/>
        <w:tabs>
          <w:tab w:val="right" w:leader="dot" w:pos="9350"/>
        </w:tabs>
        <w:rPr>
          <w:rFonts w:asciiTheme="minorHAnsi" w:eastAsiaTheme="minorEastAsia" w:hAnsiTheme="minorHAnsi" w:cstheme="minorBidi"/>
          <w:b w:val="0"/>
          <w:bCs w:val="0"/>
          <w:noProof/>
          <w:color w:val="auto"/>
          <w:szCs w:val="22"/>
        </w:rPr>
      </w:pPr>
      <w:r>
        <w:fldChar w:fldCharType="begin"/>
      </w:r>
      <w:r>
        <w:instrText xml:space="preserve"> TOC \o "1-5" \t "APA Level Heading 3,2,APA Level Heading 2,1,APA Level Heading 4,3,APA Level Heading 5,4" </w:instrText>
      </w:r>
      <w:r>
        <w:fldChar w:fldCharType="separate"/>
      </w:r>
      <w:r w:rsidR="00E527D6" w:rsidRPr="004D6A03">
        <w:rPr>
          <w:rFonts w:cs="Arial"/>
          <w:noProof/>
        </w:rPr>
        <w:t>Executive Summary</w:t>
      </w:r>
      <w:r w:rsidR="00E527D6">
        <w:rPr>
          <w:noProof/>
        </w:rPr>
        <w:tab/>
      </w:r>
      <w:r w:rsidR="00E527D6">
        <w:rPr>
          <w:noProof/>
        </w:rPr>
        <w:fldChar w:fldCharType="begin"/>
      </w:r>
      <w:r w:rsidR="00E527D6">
        <w:rPr>
          <w:noProof/>
        </w:rPr>
        <w:instrText xml:space="preserve"> PAGEREF _Toc111627590 \h </w:instrText>
      </w:r>
      <w:r w:rsidR="00E527D6">
        <w:rPr>
          <w:noProof/>
        </w:rPr>
      </w:r>
      <w:r w:rsidR="00E527D6">
        <w:rPr>
          <w:noProof/>
        </w:rPr>
        <w:fldChar w:fldCharType="separate"/>
      </w:r>
      <w:r w:rsidR="00E527D6">
        <w:rPr>
          <w:noProof/>
        </w:rPr>
        <w:t>i</w:t>
      </w:r>
      <w:r w:rsidR="00E527D6">
        <w:rPr>
          <w:noProof/>
        </w:rPr>
        <w:fldChar w:fldCharType="end"/>
      </w:r>
    </w:p>
    <w:p w14:paraId="7E21C25C" w14:textId="00D6B62E"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Pr>
          <w:noProof/>
        </w:rPr>
        <w:t>Introduction</w:t>
      </w:r>
      <w:r>
        <w:rPr>
          <w:noProof/>
        </w:rPr>
        <w:tab/>
      </w:r>
      <w:r>
        <w:rPr>
          <w:noProof/>
        </w:rPr>
        <w:fldChar w:fldCharType="begin"/>
      </w:r>
      <w:r>
        <w:rPr>
          <w:noProof/>
        </w:rPr>
        <w:instrText xml:space="preserve"> PAGEREF _Toc111627591 \h </w:instrText>
      </w:r>
      <w:r>
        <w:rPr>
          <w:noProof/>
        </w:rPr>
      </w:r>
      <w:r>
        <w:rPr>
          <w:noProof/>
        </w:rPr>
        <w:fldChar w:fldCharType="separate"/>
      </w:r>
      <w:r>
        <w:rPr>
          <w:noProof/>
        </w:rPr>
        <w:t>1</w:t>
      </w:r>
      <w:r>
        <w:rPr>
          <w:noProof/>
        </w:rPr>
        <w:fldChar w:fldCharType="end"/>
      </w:r>
    </w:p>
    <w:p w14:paraId="702A4738" w14:textId="63A2C869"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Pr>
          <w:noProof/>
        </w:rPr>
        <w:t>Background</w:t>
      </w:r>
      <w:r>
        <w:rPr>
          <w:noProof/>
        </w:rPr>
        <w:tab/>
      </w:r>
      <w:r>
        <w:rPr>
          <w:noProof/>
        </w:rPr>
        <w:fldChar w:fldCharType="begin"/>
      </w:r>
      <w:r>
        <w:rPr>
          <w:noProof/>
        </w:rPr>
        <w:instrText xml:space="preserve"> PAGEREF _Toc111627592 \h </w:instrText>
      </w:r>
      <w:r>
        <w:rPr>
          <w:noProof/>
        </w:rPr>
      </w:r>
      <w:r>
        <w:rPr>
          <w:noProof/>
        </w:rPr>
        <w:fldChar w:fldCharType="separate"/>
      </w:r>
      <w:r>
        <w:rPr>
          <w:noProof/>
        </w:rPr>
        <w:t>1</w:t>
      </w:r>
      <w:r>
        <w:rPr>
          <w:noProof/>
        </w:rPr>
        <w:fldChar w:fldCharType="end"/>
      </w:r>
    </w:p>
    <w:p w14:paraId="20FB1CAB" w14:textId="2463FA6E"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sidRPr="004D6A03">
        <w:rPr>
          <w:rFonts w:cs="Arial"/>
          <w:noProof/>
        </w:rPr>
        <w:t>Model-Referent Fidelity</w:t>
      </w:r>
      <w:r>
        <w:rPr>
          <w:noProof/>
        </w:rPr>
        <w:tab/>
      </w:r>
      <w:r>
        <w:rPr>
          <w:noProof/>
        </w:rPr>
        <w:fldChar w:fldCharType="begin"/>
      </w:r>
      <w:r>
        <w:rPr>
          <w:noProof/>
        </w:rPr>
        <w:instrText xml:space="preserve"> PAGEREF _Toc111627593 \h </w:instrText>
      </w:r>
      <w:r>
        <w:rPr>
          <w:noProof/>
        </w:rPr>
      </w:r>
      <w:r>
        <w:rPr>
          <w:noProof/>
        </w:rPr>
        <w:fldChar w:fldCharType="separate"/>
      </w:r>
      <w:r>
        <w:rPr>
          <w:noProof/>
        </w:rPr>
        <w:t>2</w:t>
      </w:r>
      <w:r>
        <w:rPr>
          <w:noProof/>
        </w:rPr>
        <w:fldChar w:fldCharType="end"/>
      </w:r>
    </w:p>
    <w:p w14:paraId="5C878032" w14:textId="7596B9A6"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sidRPr="004D6A03">
        <w:rPr>
          <w:rFonts w:cs="Arial"/>
          <w:noProof/>
        </w:rPr>
        <w:t>Referent Authority</w:t>
      </w:r>
      <w:r>
        <w:rPr>
          <w:noProof/>
        </w:rPr>
        <w:tab/>
      </w:r>
      <w:r>
        <w:rPr>
          <w:noProof/>
        </w:rPr>
        <w:fldChar w:fldCharType="begin"/>
      </w:r>
      <w:r>
        <w:rPr>
          <w:noProof/>
        </w:rPr>
        <w:instrText xml:space="preserve"> PAGEREF _Toc111627594 \h </w:instrText>
      </w:r>
      <w:r>
        <w:rPr>
          <w:noProof/>
        </w:rPr>
      </w:r>
      <w:r>
        <w:rPr>
          <w:noProof/>
        </w:rPr>
        <w:fldChar w:fldCharType="separate"/>
      </w:r>
      <w:r>
        <w:rPr>
          <w:noProof/>
        </w:rPr>
        <w:t>3</w:t>
      </w:r>
      <w:r>
        <w:rPr>
          <w:noProof/>
        </w:rPr>
        <w:fldChar w:fldCharType="end"/>
      </w:r>
    </w:p>
    <w:p w14:paraId="554DE138" w14:textId="72A69FE8" w:rsidR="00E527D6" w:rsidRDefault="00E527D6">
      <w:pPr>
        <w:pStyle w:val="TOC2"/>
        <w:tabs>
          <w:tab w:val="right" w:leader="dot" w:pos="9350"/>
        </w:tabs>
        <w:rPr>
          <w:rFonts w:asciiTheme="minorHAnsi" w:eastAsiaTheme="minorEastAsia" w:hAnsiTheme="minorHAnsi" w:cstheme="minorBidi"/>
          <w:i w:val="0"/>
          <w:iCs w:val="0"/>
          <w:noProof/>
          <w:color w:val="auto"/>
          <w:szCs w:val="22"/>
        </w:rPr>
      </w:pPr>
      <w:r>
        <w:rPr>
          <w:noProof/>
        </w:rPr>
        <w:t>Referent Authority Hierarchal Weighting</w:t>
      </w:r>
      <w:r>
        <w:rPr>
          <w:noProof/>
        </w:rPr>
        <w:tab/>
      </w:r>
      <w:r>
        <w:rPr>
          <w:noProof/>
        </w:rPr>
        <w:fldChar w:fldCharType="begin"/>
      </w:r>
      <w:r>
        <w:rPr>
          <w:noProof/>
        </w:rPr>
        <w:instrText xml:space="preserve"> PAGEREF _Toc111627595 \h </w:instrText>
      </w:r>
      <w:r>
        <w:rPr>
          <w:noProof/>
        </w:rPr>
      </w:r>
      <w:r>
        <w:rPr>
          <w:noProof/>
        </w:rPr>
        <w:fldChar w:fldCharType="separate"/>
      </w:r>
      <w:r>
        <w:rPr>
          <w:noProof/>
        </w:rPr>
        <w:t>3</w:t>
      </w:r>
      <w:r>
        <w:rPr>
          <w:noProof/>
        </w:rPr>
        <w:fldChar w:fldCharType="end"/>
      </w:r>
    </w:p>
    <w:p w14:paraId="27C60021" w14:textId="45E62A9E" w:rsidR="00E527D6" w:rsidRDefault="00E527D6">
      <w:pPr>
        <w:pStyle w:val="TOC2"/>
        <w:tabs>
          <w:tab w:val="right" w:leader="dot" w:pos="9350"/>
        </w:tabs>
        <w:rPr>
          <w:rFonts w:asciiTheme="minorHAnsi" w:eastAsiaTheme="minorEastAsia" w:hAnsiTheme="minorHAnsi" w:cstheme="minorBidi"/>
          <w:i w:val="0"/>
          <w:iCs w:val="0"/>
          <w:noProof/>
          <w:color w:val="auto"/>
          <w:szCs w:val="22"/>
        </w:rPr>
      </w:pPr>
      <w:r>
        <w:rPr>
          <w:noProof/>
        </w:rPr>
        <w:t>Referent Pooling with Normalized Power Priors</w:t>
      </w:r>
      <w:r>
        <w:rPr>
          <w:noProof/>
        </w:rPr>
        <w:tab/>
      </w:r>
      <w:r>
        <w:rPr>
          <w:noProof/>
        </w:rPr>
        <w:fldChar w:fldCharType="begin"/>
      </w:r>
      <w:r>
        <w:rPr>
          <w:noProof/>
        </w:rPr>
        <w:instrText xml:space="preserve"> PAGEREF _Toc111627596 \h </w:instrText>
      </w:r>
      <w:r>
        <w:rPr>
          <w:noProof/>
        </w:rPr>
      </w:r>
      <w:r>
        <w:rPr>
          <w:noProof/>
        </w:rPr>
        <w:fldChar w:fldCharType="separate"/>
      </w:r>
      <w:r>
        <w:rPr>
          <w:noProof/>
        </w:rPr>
        <w:t>5</w:t>
      </w:r>
      <w:r>
        <w:rPr>
          <w:noProof/>
        </w:rPr>
        <w:fldChar w:fldCharType="end"/>
      </w:r>
    </w:p>
    <w:p w14:paraId="71FFC335" w14:textId="558248C2"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sidRPr="004D6A03">
        <w:rPr>
          <w:rFonts w:cs="Arial"/>
          <w:noProof/>
        </w:rPr>
        <w:t>Scope</w:t>
      </w:r>
      <w:r>
        <w:rPr>
          <w:noProof/>
        </w:rPr>
        <w:tab/>
      </w:r>
      <w:r>
        <w:rPr>
          <w:noProof/>
        </w:rPr>
        <w:fldChar w:fldCharType="begin"/>
      </w:r>
      <w:r>
        <w:rPr>
          <w:noProof/>
        </w:rPr>
        <w:instrText xml:space="preserve"> PAGEREF _Toc111627597 \h </w:instrText>
      </w:r>
      <w:r>
        <w:rPr>
          <w:noProof/>
        </w:rPr>
      </w:r>
      <w:r>
        <w:rPr>
          <w:noProof/>
        </w:rPr>
        <w:fldChar w:fldCharType="separate"/>
      </w:r>
      <w:r>
        <w:rPr>
          <w:noProof/>
        </w:rPr>
        <w:t>6</w:t>
      </w:r>
      <w:r>
        <w:rPr>
          <w:noProof/>
        </w:rPr>
        <w:fldChar w:fldCharType="end"/>
      </w:r>
    </w:p>
    <w:p w14:paraId="7BF0C48E" w14:textId="22A7E25C" w:rsidR="00E527D6" w:rsidRDefault="00E527D6">
      <w:pPr>
        <w:pStyle w:val="TOC2"/>
        <w:tabs>
          <w:tab w:val="right" w:leader="dot" w:pos="9350"/>
        </w:tabs>
        <w:rPr>
          <w:rFonts w:asciiTheme="minorHAnsi" w:eastAsiaTheme="minorEastAsia" w:hAnsiTheme="minorHAnsi" w:cstheme="minorBidi"/>
          <w:i w:val="0"/>
          <w:iCs w:val="0"/>
          <w:noProof/>
          <w:color w:val="auto"/>
          <w:szCs w:val="22"/>
        </w:rPr>
      </w:pPr>
      <w:r>
        <w:rPr>
          <w:noProof/>
        </w:rPr>
        <w:t>Volume Metric</w:t>
      </w:r>
      <w:r>
        <w:rPr>
          <w:noProof/>
        </w:rPr>
        <w:tab/>
      </w:r>
      <w:r>
        <w:rPr>
          <w:noProof/>
        </w:rPr>
        <w:fldChar w:fldCharType="begin"/>
      </w:r>
      <w:r>
        <w:rPr>
          <w:noProof/>
        </w:rPr>
        <w:instrText xml:space="preserve"> PAGEREF _Toc111627598 \h </w:instrText>
      </w:r>
      <w:r>
        <w:rPr>
          <w:noProof/>
        </w:rPr>
      </w:r>
      <w:r>
        <w:rPr>
          <w:noProof/>
        </w:rPr>
        <w:fldChar w:fldCharType="separate"/>
      </w:r>
      <w:r>
        <w:rPr>
          <w:noProof/>
        </w:rPr>
        <w:t>8</w:t>
      </w:r>
      <w:r>
        <w:rPr>
          <w:noProof/>
        </w:rPr>
        <w:fldChar w:fldCharType="end"/>
      </w:r>
    </w:p>
    <w:p w14:paraId="5EB188F9" w14:textId="7A800D38" w:rsidR="00E527D6" w:rsidRDefault="00E527D6">
      <w:pPr>
        <w:pStyle w:val="TOC2"/>
        <w:tabs>
          <w:tab w:val="right" w:leader="dot" w:pos="9350"/>
        </w:tabs>
        <w:rPr>
          <w:rFonts w:asciiTheme="minorHAnsi" w:eastAsiaTheme="minorEastAsia" w:hAnsiTheme="minorHAnsi" w:cstheme="minorBidi"/>
          <w:i w:val="0"/>
          <w:iCs w:val="0"/>
          <w:noProof/>
          <w:color w:val="auto"/>
          <w:szCs w:val="22"/>
        </w:rPr>
      </w:pPr>
      <w:r>
        <w:rPr>
          <w:noProof/>
        </w:rPr>
        <w:t>Density Metric</w:t>
      </w:r>
      <w:r>
        <w:rPr>
          <w:noProof/>
        </w:rPr>
        <w:tab/>
      </w:r>
      <w:r>
        <w:rPr>
          <w:noProof/>
        </w:rPr>
        <w:fldChar w:fldCharType="begin"/>
      </w:r>
      <w:r>
        <w:rPr>
          <w:noProof/>
        </w:rPr>
        <w:instrText xml:space="preserve"> PAGEREF _Toc111627599 \h </w:instrText>
      </w:r>
      <w:r>
        <w:rPr>
          <w:noProof/>
        </w:rPr>
      </w:r>
      <w:r>
        <w:rPr>
          <w:noProof/>
        </w:rPr>
        <w:fldChar w:fldCharType="separate"/>
      </w:r>
      <w:r>
        <w:rPr>
          <w:noProof/>
        </w:rPr>
        <w:t>9</w:t>
      </w:r>
      <w:r>
        <w:rPr>
          <w:noProof/>
        </w:rPr>
        <w:fldChar w:fldCharType="end"/>
      </w:r>
    </w:p>
    <w:p w14:paraId="5BE0AF5E" w14:textId="79F3BD80"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sidRPr="004D6A03">
        <w:rPr>
          <w:rFonts w:cs="Arial"/>
          <w:noProof/>
        </w:rPr>
        <w:t>Considerations for a Combined Metric</w:t>
      </w:r>
      <w:r>
        <w:rPr>
          <w:noProof/>
        </w:rPr>
        <w:tab/>
      </w:r>
      <w:r>
        <w:rPr>
          <w:noProof/>
        </w:rPr>
        <w:fldChar w:fldCharType="begin"/>
      </w:r>
      <w:r>
        <w:rPr>
          <w:noProof/>
        </w:rPr>
        <w:instrText xml:space="preserve"> PAGEREF _Toc111627600 \h </w:instrText>
      </w:r>
      <w:r>
        <w:rPr>
          <w:noProof/>
        </w:rPr>
      </w:r>
      <w:r>
        <w:rPr>
          <w:noProof/>
        </w:rPr>
        <w:fldChar w:fldCharType="separate"/>
      </w:r>
      <w:r>
        <w:rPr>
          <w:noProof/>
        </w:rPr>
        <w:t>10</w:t>
      </w:r>
      <w:r>
        <w:rPr>
          <w:noProof/>
        </w:rPr>
        <w:fldChar w:fldCharType="end"/>
      </w:r>
    </w:p>
    <w:p w14:paraId="55B48D1A" w14:textId="6EC1F08B"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Pr>
          <w:noProof/>
        </w:rPr>
        <w:t>Conclusion</w:t>
      </w:r>
      <w:r>
        <w:rPr>
          <w:noProof/>
        </w:rPr>
        <w:tab/>
      </w:r>
      <w:r>
        <w:rPr>
          <w:noProof/>
        </w:rPr>
        <w:fldChar w:fldCharType="begin"/>
      </w:r>
      <w:r>
        <w:rPr>
          <w:noProof/>
        </w:rPr>
        <w:instrText xml:space="preserve"> PAGEREF _Toc111627601 \h </w:instrText>
      </w:r>
      <w:r>
        <w:rPr>
          <w:noProof/>
        </w:rPr>
      </w:r>
      <w:r>
        <w:rPr>
          <w:noProof/>
        </w:rPr>
        <w:fldChar w:fldCharType="separate"/>
      </w:r>
      <w:r>
        <w:rPr>
          <w:noProof/>
        </w:rPr>
        <w:t>11</w:t>
      </w:r>
      <w:r>
        <w:rPr>
          <w:noProof/>
        </w:rPr>
        <w:fldChar w:fldCharType="end"/>
      </w:r>
    </w:p>
    <w:p w14:paraId="0A960420" w14:textId="47F4F096"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sidRPr="004D6A03">
        <w:rPr>
          <w:rFonts w:cs="Arial"/>
          <w:noProof/>
        </w:rPr>
        <w:t>References</w:t>
      </w:r>
      <w:r>
        <w:rPr>
          <w:noProof/>
        </w:rPr>
        <w:tab/>
      </w:r>
      <w:r>
        <w:rPr>
          <w:noProof/>
        </w:rPr>
        <w:fldChar w:fldCharType="begin"/>
      </w:r>
      <w:r>
        <w:rPr>
          <w:noProof/>
        </w:rPr>
        <w:instrText xml:space="preserve"> PAGEREF _Toc111627602 \h </w:instrText>
      </w:r>
      <w:r>
        <w:rPr>
          <w:noProof/>
        </w:rPr>
      </w:r>
      <w:r>
        <w:rPr>
          <w:noProof/>
        </w:rPr>
        <w:fldChar w:fldCharType="separate"/>
      </w:r>
      <w:r>
        <w:rPr>
          <w:noProof/>
        </w:rPr>
        <w:t>12</w:t>
      </w:r>
      <w:r>
        <w:rPr>
          <w:noProof/>
        </w:rPr>
        <w:fldChar w:fldCharType="end"/>
      </w:r>
    </w:p>
    <w:p w14:paraId="382905C2" w14:textId="0E7DD527" w:rsidR="00E527D6" w:rsidRDefault="00E527D6">
      <w:pPr>
        <w:pStyle w:val="TOC1"/>
        <w:tabs>
          <w:tab w:val="right" w:leader="dot" w:pos="9350"/>
        </w:tabs>
        <w:rPr>
          <w:rFonts w:asciiTheme="minorHAnsi" w:eastAsiaTheme="minorEastAsia" w:hAnsiTheme="minorHAnsi" w:cstheme="minorBidi"/>
          <w:b w:val="0"/>
          <w:bCs w:val="0"/>
          <w:noProof/>
          <w:color w:val="auto"/>
          <w:szCs w:val="22"/>
        </w:rPr>
      </w:pPr>
      <w:r w:rsidRPr="004D6A03">
        <w:rPr>
          <w:rFonts w:cs="Arial"/>
          <w:noProof/>
        </w:rPr>
        <w:t>Appendix</w:t>
      </w:r>
      <w:r>
        <w:rPr>
          <w:noProof/>
        </w:rPr>
        <w:tab/>
      </w:r>
      <w:r>
        <w:rPr>
          <w:noProof/>
        </w:rPr>
        <w:fldChar w:fldCharType="begin"/>
      </w:r>
      <w:r>
        <w:rPr>
          <w:noProof/>
        </w:rPr>
        <w:instrText xml:space="preserve"> PAGEREF _Toc111627603 \h </w:instrText>
      </w:r>
      <w:r>
        <w:rPr>
          <w:noProof/>
        </w:rPr>
      </w:r>
      <w:r>
        <w:rPr>
          <w:noProof/>
        </w:rPr>
        <w:fldChar w:fldCharType="separate"/>
      </w:r>
      <w:r>
        <w:rPr>
          <w:noProof/>
        </w:rPr>
        <w:t>13</w:t>
      </w:r>
      <w:r>
        <w:rPr>
          <w:noProof/>
        </w:rPr>
        <w:fldChar w:fldCharType="end"/>
      </w:r>
    </w:p>
    <w:p w14:paraId="357F5505" w14:textId="2A70B0D7" w:rsidR="00AB03E5" w:rsidRPr="00C32FCB" w:rsidRDefault="00F33B3D" w:rsidP="00AB03E5">
      <w:pPr>
        <w:rPr>
          <w:b/>
          <w:bCs/>
        </w:rPr>
      </w:pPr>
      <w:r>
        <w:fldChar w:fldCharType="end"/>
      </w:r>
    </w:p>
    <w:p w14:paraId="6D9BEB39" w14:textId="22BF8B24" w:rsidR="00AB03E5" w:rsidRDefault="00AB03E5" w:rsidP="00AB03E5">
      <w:pPr>
        <w:rPr>
          <w:sz w:val="20"/>
        </w:rPr>
      </w:pPr>
    </w:p>
    <w:p w14:paraId="17FBAE07" w14:textId="77777777" w:rsidR="00F33B3D" w:rsidRDefault="00F33B3D">
      <w:pPr>
        <w:rPr>
          <w:rFonts w:eastAsiaTheme="majorEastAsia"/>
          <w:b/>
          <w:sz w:val="24"/>
          <w:szCs w:val="24"/>
        </w:rPr>
      </w:pPr>
      <w:r>
        <w:rPr>
          <w:sz w:val="24"/>
          <w:szCs w:val="24"/>
        </w:rPr>
        <w:br w:type="page"/>
      </w:r>
    </w:p>
    <w:p w14:paraId="78D1E680" w14:textId="30B0921D" w:rsidR="004C01D7" w:rsidRPr="00EB0429" w:rsidRDefault="00257A62" w:rsidP="00CB4475">
      <w:pPr>
        <w:pStyle w:val="APALevelHeading2"/>
        <w:contextualSpacing/>
        <w:rPr>
          <w:rStyle w:val="Strong"/>
          <w:rFonts w:cs="Arial"/>
          <w:b/>
          <w:bCs w:val="0"/>
          <w:szCs w:val="24"/>
        </w:rPr>
      </w:pPr>
      <w:bookmarkStart w:id="4" w:name="_Toc111627591"/>
      <w:r w:rsidRPr="00B21350">
        <w:lastRenderedPageBreak/>
        <w:t>Introduction</w:t>
      </w:r>
      <w:bookmarkEnd w:id="4"/>
      <w:r w:rsidR="004C01D7">
        <w:br/>
      </w:r>
    </w:p>
    <w:p w14:paraId="573140A2" w14:textId="299A43B7" w:rsidR="003E72C3" w:rsidRPr="002A7A5E" w:rsidRDefault="00275506" w:rsidP="00F32574">
      <w:pPr>
        <w:pStyle w:val="BodyText"/>
        <w:contextualSpacing/>
        <w:rPr>
          <w:szCs w:val="22"/>
        </w:rPr>
      </w:pPr>
      <w:r w:rsidRPr="002A7A5E">
        <w:rPr>
          <w:szCs w:val="22"/>
        </w:rPr>
        <w:t>Model</w:t>
      </w:r>
      <w:r w:rsidR="008F6C7B" w:rsidRPr="002A7A5E">
        <w:rPr>
          <w:szCs w:val="22"/>
        </w:rPr>
        <w:t xml:space="preserve"> validation in digital engineering suffers from </w:t>
      </w:r>
      <w:r w:rsidR="00A9376B" w:rsidRPr="002A7A5E">
        <w:rPr>
          <w:szCs w:val="22"/>
        </w:rPr>
        <w:t>the</w:t>
      </w:r>
      <w:r w:rsidR="008F6C7B" w:rsidRPr="002A7A5E">
        <w:rPr>
          <w:szCs w:val="22"/>
        </w:rPr>
        <w:t xml:space="preserve"> lack of </w:t>
      </w:r>
      <w:r w:rsidR="00A9376B" w:rsidRPr="002A7A5E">
        <w:rPr>
          <w:szCs w:val="22"/>
        </w:rPr>
        <w:t xml:space="preserve">a </w:t>
      </w:r>
      <w:r w:rsidR="008F6C7B" w:rsidRPr="002A7A5E">
        <w:rPr>
          <w:szCs w:val="22"/>
        </w:rPr>
        <w:t>clear definition. Simply put, model validation</w:t>
      </w:r>
      <w:r w:rsidR="0097098F" w:rsidRPr="002A7A5E">
        <w:rPr>
          <w:szCs w:val="22"/>
        </w:rPr>
        <w:t xml:space="preserve"> compares a model to some basis</w:t>
      </w:r>
      <w:r w:rsidR="008F6C7B" w:rsidRPr="002A7A5E">
        <w:rPr>
          <w:szCs w:val="22"/>
        </w:rPr>
        <w:t xml:space="preserve"> </w:t>
      </w:r>
      <w:r w:rsidR="0097098F" w:rsidRPr="002A7A5E">
        <w:rPr>
          <w:szCs w:val="22"/>
        </w:rPr>
        <w:t>to</w:t>
      </w:r>
      <w:r w:rsidR="008F6C7B" w:rsidRPr="002A7A5E">
        <w:rPr>
          <w:szCs w:val="22"/>
        </w:rPr>
        <w:t xml:space="preserve"> determin</w:t>
      </w:r>
      <w:r w:rsidR="0083756B" w:rsidRPr="002A7A5E">
        <w:rPr>
          <w:szCs w:val="22"/>
        </w:rPr>
        <w:t>e</w:t>
      </w:r>
      <w:r w:rsidR="008F6C7B" w:rsidRPr="002A7A5E">
        <w:rPr>
          <w:szCs w:val="22"/>
        </w:rPr>
        <w:t xml:space="preserve"> whether a model is “good enough”, but there </w:t>
      </w:r>
      <w:r w:rsidR="0083756B" w:rsidRPr="002A7A5E">
        <w:rPr>
          <w:szCs w:val="22"/>
        </w:rPr>
        <w:t xml:space="preserve">is </w:t>
      </w:r>
      <w:r w:rsidR="008F6C7B" w:rsidRPr="002A7A5E">
        <w:rPr>
          <w:szCs w:val="22"/>
        </w:rPr>
        <w:t>no standard for how to conduct</w:t>
      </w:r>
      <w:r w:rsidR="0097098F" w:rsidRPr="002A7A5E">
        <w:rPr>
          <w:szCs w:val="22"/>
        </w:rPr>
        <w:t xml:space="preserve"> such a comparison, what constitutes an acceptable basis for comparison, or even what constitutes “good enough”. Currently, </w:t>
      </w:r>
      <w:r w:rsidR="0083756B" w:rsidRPr="002A7A5E">
        <w:rPr>
          <w:szCs w:val="22"/>
        </w:rPr>
        <w:t>these questions are frequently left to subject matter experts</w:t>
      </w:r>
      <w:r w:rsidR="00A9376B" w:rsidRPr="002A7A5E">
        <w:rPr>
          <w:szCs w:val="22"/>
        </w:rPr>
        <w:t xml:space="preserve"> (SME)</w:t>
      </w:r>
      <w:r w:rsidR="0083756B" w:rsidRPr="002A7A5E">
        <w:rPr>
          <w:szCs w:val="22"/>
        </w:rPr>
        <w:t xml:space="preserve"> to answer on a case-by-case basis</w:t>
      </w:r>
      <w:r w:rsidR="0097098F" w:rsidRPr="002A7A5E">
        <w:rPr>
          <w:szCs w:val="22"/>
        </w:rPr>
        <w:t xml:space="preserve">, resulting in subjectively defined criteria for validating a model. </w:t>
      </w:r>
      <w:r w:rsidR="009D75FB" w:rsidRPr="002A7A5E">
        <w:rPr>
          <w:szCs w:val="22"/>
        </w:rPr>
        <w:t xml:space="preserve">The lack of rigor </w:t>
      </w:r>
      <w:r w:rsidR="0097098F" w:rsidRPr="002A7A5E">
        <w:rPr>
          <w:szCs w:val="22"/>
        </w:rPr>
        <w:t>leads to uncertainty by decision makers on the trustworthiness of a model, and uncertainty by model developers on whether a model is relevant under different use cases.</w:t>
      </w:r>
      <w:r w:rsidR="009D75FB" w:rsidRPr="002A7A5E">
        <w:rPr>
          <w:szCs w:val="22"/>
        </w:rPr>
        <w:t xml:space="preserve"> In this paper, we discuss the mathematical considerations which must be addressed in a rigorous validation approach and present metrics and mathematical constructs for use in a Model Validation Level (MVL)</w:t>
      </w:r>
      <w:r w:rsidR="00004C91">
        <w:rPr>
          <w:szCs w:val="22"/>
        </w:rPr>
        <w:t xml:space="preserve"> according to the conceptual framework laid out in </w:t>
      </w:r>
      <w:r w:rsidR="00004C91" w:rsidRPr="00D81007">
        <w:rPr>
          <w:szCs w:val="22"/>
        </w:rPr>
        <w:t xml:space="preserve">A Conceptual Framework for the Establishment of Model Readiness </w:t>
      </w:r>
      <w:r w:rsidR="00004C91" w:rsidRPr="00B649BD">
        <w:rPr>
          <w:szCs w:val="22"/>
        </w:rPr>
        <w:t>Levels</w:t>
      </w:r>
      <w:r w:rsidR="00004C91">
        <w:rPr>
          <w:i/>
          <w:szCs w:val="22"/>
        </w:rPr>
        <w:t xml:space="preserve"> </w:t>
      </w:r>
      <w:r w:rsidR="00004C91">
        <w:rPr>
          <w:szCs w:val="22"/>
        </w:rPr>
        <w:t>(Ahner</w:t>
      </w:r>
      <w:r w:rsidR="000144D9">
        <w:rPr>
          <w:szCs w:val="22"/>
        </w:rPr>
        <w:t>,</w:t>
      </w:r>
      <w:r w:rsidR="00004C91">
        <w:rPr>
          <w:szCs w:val="22"/>
        </w:rPr>
        <w:t xml:space="preserve"> 2021).</w:t>
      </w:r>
      <w:r w:rsidR="00590CC7" w:rsidRPr="002A7A5E">
        <w:rPr>
          <w:szCs w:val="22"/>
        </w:rPr>
        <w:t xml:space="preserve"> </w:t>
      </w:r>
      <w:r w:rsidR="00DF5B37" w:rsidRPr="002A7A5E">
        <w:rPr>
          <w:szCs w:val="22"/>
        </w:rPr>
        <w:t>A M</w:t>
      </w:r>
      <w:r w:rsidR="00004C91">
        <w:rPr>
          <w:szCs w:val="22"/>
        </w:rPr>
        <w:t xml:space="preserve">VL is </w:t>
      </w:r>
      <w:r w:rsidR="00004C91" w:rsidRPr="002A7A5E">
        <w:rPr>
          <w:szCs w:val="22"/>
        </w:rPr>
        <w:t>a single metric for the evaluation of model trustworthiness</w:t>
      </w:r>
      <w:r w:rsidR="00004C91">
        <w:rPr>
          <w:szCs w:val="22"/>
        </w:rPr>
        <w:t>, and it</w:t>
      </w:r>
      <w:r w:rsidR="00DF5B37" w:rsidRPr="002A7A5E">
        <w:rPr>
          <w:szCs w:val="22"/>
        </w:rPr>
        <w:t xml:space="preserve"> </w:t>
      </w:r>
      <w:r w:rsidR="009D75FB" w:rsidRPr="002A7A5E">
        <w:rPr>
          <w:szCs w:val="22"/>
        </w:rPr>
        <w:t>enable</w:t>
      </w:r>
      <w:r w:rsidR="00DF5B37" w:rsidRPr="002A7A5E">
        <w:rPr>
          <w:szCs w:val="22"/>
        </w:rPr>
        <w:t>s</w:t>
      </w:r>
      <w:r w:rsidR="009D75FB" w:rsidRPr="002A7A5E">
        <w:rPr>
          <w:szCs w:val="22"/>
        </w:rPr>
        <w:t xml:space="preserve"> an objective approach to </w:t>
      </w:r>
      <w:r w:rsidR="00590CC7" w:rsidRPr="002A7A5E">
        <w:rPr>
          <w:szCs w:val="22"/>
        </w:rPr>
        <w:t>model validation which numerically assess</w:t>
      </w:r>
      <w:r w:rsidR="00EC6BEF" w:rsidRPr="002A7A5E">
        <w:rPr>
          <w:szCs w:val="22"/>
        </w:rPr>
        <w:t>es</w:t>
      </w:r>
      <w:r w:rsidR="00590CC7" w:rsidRPr="002A7A5E">
        <w:rPr>
          <w:szCs w:val="22"/>
        </w:rPr>
        <w:t xml:space="preserve"> the authority level of a model</w:t>
      </w:r>
      <w:r w:rsidR="00EC6BEF" w:rsidRPr="002A7A5E">
        <w:rPr>
          <w:szCs w:val="22"/>
        </w:rPr>
        <w:t>’</w:t>
      </w:r>
      <w:r w:rsidR="00590CC7" w:rsidRPr="002A7A5E">
        <w:rPr>
          <w:szCs w:val="22"/>
        </w:rPr>
        <w:t>s outputs in its intended use case rather tha</w:t>
      </w:r>
      <w:r w:rsidR="00EC6BEF" w:rsidRPr="002A7A5E">
        <w:rPr>
          <w:szCs w:val="22"/>
        </w:rPr>
        <w:t>n</w:t>
      </w:r>
      <w:r w:rsidR="00590CC7" w:rsidRPr="002A7A5E">
        <w:rPr>
          <w:szCs w:val="22"/>
        </w:rPr>
        <w:t xml:space="preserve"> a binary “pass/fail” </w:t>
      </w:r>
      <w:r w:rsidR="00A9376B" w:rsidRPr="002A7A5E">
        <w:rPr>
          <w:szCs w:val="22"/>
        </w:rPr>
        <w:t>criterion</w:t>
      </w:r>
      <w:r w:rsidR="00590CC7" w:rsidRPr="002A7A5E">
        <w:rPr>
          <w:szCs w:val="22"/>
        </w:rPr>
        <w:t xml:space="preserve">. In doing so, </w:t>
      </w:r>
      <w:r w:rsidR="00DF5B37" w:rsidRPr="002A7A5E">
        <w:rPr>
          <w:szCs w:val="22"/>
        </w:rPr>
        <w:t xml:space="preserve">a MVL </w:t>
      </w:r>
      <w:r w:rsidR="00590CC7" w:rsidRPr="002A7A5E">
        <w:rPr>
          <w:szCs w:val="22"/>
        </w:rPr>
        <w:t>establish</w:t>
      </w:r>
      <w:r w:rsidR="00DF5B37" w:rsidRPr="002A7A5E">
        <w:rPr>
          <w:szCs w:val="22"/>
        </w:rPr>
        <w:t>es</w:t>
      </w:r>
      <w:r w:rsidR="00590CC7" w:rsidRPr="002A7A5E">
        <w:rPr>
          <w:szCs w:val="22"/>
        </w:rPr>
        <w:t xml:space="preserve"> not only a scalable measure of trust to be placed in a model</w:t>
      </w:r>
      <w:r w:rsidR="00EC6BEF" w:rsidRPr="002A7A5E">
        <w:rPr>
          <w:szCs w:val="22"/>
        </w:rPr>
        <w:t>,</w:t>
      </w:r>
      <w:r w:rsidR="00590CC7" w:rsidRPr="002A7A5E">
        <w:rPr>
          <w:szCs w:val="22"/>
        </w:rPr>
        <w:t xml:space="preserve"> but also a basis for continual assessment that can grade a model consistently as new data is obtained, requirements change, or the model is adapted for new use.</w:t>
      </w:r>
      <w:r w:rsidR="00D64146">
        <w:rPr>
          <w:szCs w:val="22"/>
        </w:rPr>
        <w:t xml:space="preserve"> Through this improved validation framework, </w:t>
      </w:r>
      <w:r w:rsidR="00D64146" w:rsidRPr="00D64146">
        <w:rPr>
          <w:szCs w:val="22"/>
        </w:rPr>
        <w:t xml:space="preserve">MVLs will enable DOD </w:t>
      </w:r>
      <w:r w:rsidR="007B07F8">
        <w:rPr>
          <w:szCs w:val="22"/>
        </w:rPr>
        <w:t>p</w:t>
      </w:r>
      <w:r w:rsidR="00D64146" w:rsidRPr="00D64146">
        <w:rPr>
          <w:szCs w:val="22"/>
        </w:rPr>
        <w:t>r</w:t>
      </w:r>
      <w:r w:rsidR="007B07F8">
        <w:rPr>
          <w:szCs w:val="22"/>
        </w:rPr>
        <w:t>ogram m</w:t>
      </w:r>
      <w:r w:rsidR="00D64146" w:rsidRPr="00D64146">
        <w:rPr>
          <w:szCs w:val="22"/>
        </w:rPr>
        <w:t>anagers and M&amp;S</w:t>
      </w:r>
      <w:r w:rsidR="007B07F8">
        <w:rPr>
          <w:szCs w:val="22"/>
        </w:rPr>
        <w:t xml:space="preserve"> (Modeling &amp; Simulation)</w:t>
      </w:r>
      <w:r w:rsidR="00D64146" w:rsidRPr="00D64146">
        <w:rPr>
          <w:szCs w:val="22"/>
        </w:rPr>
        <w:t xml:space="preserve"> developers to effectively employ M&amp;S in the engineering of complex defense systems with full comprehension of model capabilities and risk</w:t>
      </w:r>
      <w:r w:rsidR="00D64146">
        <w:rPr>
          <w:szCs w:val="22"/>
        </w:rPr>
        <w:t>.</w:t>
      </w:r>
    </w:p>
    <w:p w14:paraId="24138EC1" w14:textId="77777777" w:rsidR="00325B1A" w:rsidRPr="002A7A5E" w:rsidRDefault="00325B1A" w:rsidP="00F32574">
      <w:pPr>
        <w:pStyle w:val="BodyText"/>
        <w:contextualSpacing/>
        <w:rPr>
          <w:szCs w:val="22"/>
        </w:rPr>
      </w:pPr>
    </w:p>
    <w:p w14:paraId="401744BD" w14:textId="34C969A8" w:rsidR="00590CC7" w:rsidRPr="002A7A5E" w:rsidRDefault="00590CC7" w:rsidP="00F32574">
      <w:pPr>
        <w:pStyle w:val="BodyText"/>
        <w:contextualSpacing/>
        <w:rPr>
          <w:szCs w:val="22"/>
        </w:rPr>
      </w:pPr>
      <w:r w:rsidRPr="002A7A5E">
        <w:rPr>
          <w:szCs w:val="22"/>
        </w:rPr>
        <w:t>The remainder of this paper examines the major conceptual elements, or pillars, which m</w:t>
      </w:r>
      <w:r w:rsidR="00D95DE8" w:rsidRPr="002A7A5E">
        <w:rPr>
          <w:szCs w:val="22"/>
        </w:rPr>
        <w:t>ust be addressed in validation</w:t>
      </w:r>
      <w:r w:rsidR="00ED1C69">
        <w:rPr>
          <w:szCs w:val="22"/>
        </w:rPr>
        <w:t xml:space="preserve">: </w:t>
      </w:r>
      <w:r w:rsidR="00D95DE8" w:rsidRPr="002A7A5E">
        <w:rPr>
          <w:szCs w:val="22"/>
        </w:rPr>
        <w:t>model-referent fidelity, referent authority, and specific intended use</w:t>
      </w:r>
      <w:r w:rsidR="00325B1A" w:rsidRPr="002A7A5E">
        <w:rPr>
          <w:szCs w:val="22"/>
        </w:rPr>
        <w:t xml:space="preserve"> (i.e. scope)</w:t>
      </w:r>
      <w:r w:rsidR="00D95DE8" w:rsidRPr="002A7A5E">
        <w:rPr>
          <w:szCs w:val="22"/>
        </w:rPr>
        <w:t xml:space="preserve">. </w:t>
      </w:r>
      <w:r w:rsidR="00325B1A" w:rsidRPr="002A7A5E">
        <w:rPr>
          <w:szCs w:val="22"/>
        </w:rPr>
        <w:t>For each element</w:t>
      </w:r>
      <w:r w:rsidR="00D95DE8" w:rsidRPr="002A7A5E">
        <w:rPr>
          <w:szCs w:val="22"/>
        </w:rPr>
        <w:t xml:space="preserve">, </w:t>
      </w:r>
      <w:r w:rsidR="00D64146">
        <w:rPr>
          <w:szCs w:val="22"/>
        </w:rPr>
        <w:t>this paper</w:t>
      </w:r>
      <w:r w:rsidR="00D64146" w:rsidRPr="002A7A5E">
        <w:rPr>
          <w:szCs w:val="22"/>
        </w:rPr>
        <w:t xml:space="preserve"> </w:t>
      </w:r>
      <w:r w:rsidR="00D95DE8" w:rsidRPr="002A7A5E">
        <w:rPr>
          <w:szCs w:val="22"/>
        </w:rPr>
        <w:t xml:space="preserve">addresses the mathematical considerations </w:t>
      </w:r>
      <w:r w:rsidR="0023048F" w:rsidRPr="002A7A5E">
        <w:rPr>
          <w:szCs w:val="22"/>
        </w:rPr>
        <w:t>for validation and</w:t>
      </w:r>
      <w:r w:rsidR="00D95DE8" w:rsidRPr="002A7A5E">
        <w:rPr>
          <w:szCs w:val="22"/>
        </w:rPr>
        <w:t xml:space="preserve"> presents metrics and constructs useful for model</w:t>
      </w:r>
      <w:r w:rsidR="0023048F" w:rsidRPr="002A7A5E">
        <w:rPr>
          <w:szCs w:val="22"/>
        </w:rPr>
        <w:t xml:space="preserve"> validation</w:t>
      </w:r>
      <w:r w:rsidR="00CD0CD6" w:rsidRPr="002A7A5E">
        <w:rPr>
          <w:szCs w:val="22"/>
        </w:rPr>
        <w:t>. T</w:t>
      </w:r>
      <w:r w:rsidR="00D95DE8" w:rsidRPr="002A7A5E">
        <w:rPr>
          <w:szCs w:val="22"/>
        </w:rPr>
        <w:t>his paper</w:t>
      </w:r>
      <w:r w:rsidR="00CD0CD6" w:rsidRPr="00810A2C">
        <w:rPr>
          <w:szCs w:val="22"/>
        </w:rPr>
        <w:t xml:space="preserve"> </w:t>
      </w:r>
      <w:r w:rsidR="00CC3CB1" w:rsidRPr="00D64146">
        <w:rPr>
          <w:szCs w:val="22"/>
        </w:rPr>
        <w:t xml:space="preserve">additionally </w:t>
      </w:r>
      <w:r w:rsidR="00D95DE8" w:rsidRPr="00D64146">
        <w:rPr>
          <w:szCs w:val="22"/>
        </w:rPr>
        <w:t>discusses necessary considerations for incorporating the mathematical constructs and metrics associated with the separate pillars of validation into a combined MVL.</w:t>
      </w:r>
      <w:r w:rsidR="00CD0CD6" w:rsidRPr="00D64146">
        <w:rPr>
          <w:szCs w:val="22"/>
        </w:rPr>
        <w:t xml:space="preserve"> </w:t>
      </w:r>
      <w:r w:rsidR="00EC6BEF" w:rsidRPr="000B18FC">
        <w:rPr>
          <w:szCs w:val="22"/>
        </w:rPr>
        <w:t xml:space="preserve">Finally, </w:t>
      </w:r>
      <w:r w:rsidR="00CD0CD6" w:rsidRPr="000B18FC">
        <w:rPr>
          <w:szCs w:val="22"/>
        </w:rPr>
        <w:t>this paper reiterates the current state of M&amp;S</w:t>
      </w:r>
      <w:r w:rsidR="00EC6BEF" w:rsidRPr="005558A1">
        <w:rPr>
          <w:szCs w:val="22"/>
        </w:rPr>
        <w:t xml:space="preserve"> </w:t>
      </w:r>
      <w:r w:rsidR="00CD0CD6" w:rsidRPr="005558A1">
        <w:rPr>
          <w:szCs w:val="22"/>
        </w:rPr>
        <w:t xml:space="preserve">in the </w:t>
      </w:r>
      <w:r w:rsidR="00A9376B" w:rsidRPr="005558A1">
        <w:rPr>
          <w:szCs w:val="22"/>
        </w:rPr>
        <w:t>Department of Defense (</w:t>
      </w:r>
      <w:r w:rsidR="00CD0CD6" w:rsidRPr="005558A1">
        <w:rPr>
          <w:szCs w:val="22"/>
        </w:rPr>
        <w:t>D</w:t>
      </w:r>
      <w:r w:rsidR="00EC6BEF" w:rsidRPr="005558A1">
        <w:rPr>
          <w:szCs w:val="22"/>
        </w:rPr>
        <w:t>O</w:t>
      </w:r>
      <w:r w:rsidR="00CD0CD6" w:rsidRPr="005558A1">
        <w:rPr>
          <w:szCs w:val="22"/>
        </w:rPr>
        <w:t>D</w:t>
      </w:r>
      <w:r w:rsidR="00A9376B" w:rsidRPr="002A7A5E">
        <w:rPr>
          <w:szCs w:val="22"/>
        </w:rPr>
        <w:t>)</w:t>
      </w:r>
      <w:r w:rsidR="00CD0CD6" w:rsidRPr="002A7A5E">
        <w:rPr>
          <w:szCs w:val="22"/>
        </w:rPr>
        <w:t xml:space="preserve"> and the value provided by the </w:t>
      </w:r>
      <w:r w:rsidR="00EC6BEF" w:rsidRPr="00D64146">
        <w:rPr>
          <w:szCs w:val="22"/>
        </w:rPr>
        <w:t>MVLs</w:t>
      </w:r>
      <w:r w:rsidR="00CD0CD6" w:rsidRPr="00D64146">
        <w:rPr>
          <w:szCs w:val="22"/>
        </w:rPr>
        <w:t xml:space="preserve"> for rigorous, consistent, </w:t>
      </w:r>
      <w:r w:rsidR="00EC6BEF" w:rsidRPr="00D64146">
        <w:rPr>
          <w:szCs w:val="22"/>
        </w:rPr>
        <w:t xml:space="preserve">and </w:t>
      </w:r>
      <w:r w:rsidR="00CD0CD6" w:rsidRPr="00D64146">
        <w:rPr>
          <w:szCs w:val="22"/>
        </w:rPr>
        <w:t>repeatable validation.</w:t>
      </w:r>
    </w:p>
    <w:p w14:paraId="27F26EF0" w14:textId="2652D968" w:rsidR="00F32574" w:rsidRDefault="00F32574" w:rsidP="00F32574">
      <w:pPr>
        <w:pStyle w:val="BodyText"/>
        <w:contextualSpacing/>
      </w:pPr>
    </w:p>
    <w:p w14:paraId="67A4ECBE" w14:textId="1A6455E3" w:rsidR="00257A62" w:rsidRPr="00F33B3D" w:rsidRDefault="00143523" w:rsidP="00F33B3D">
      <w:pPr>
        <w:pStyle w:val="APALevelHeading2"/>
        <w:contextualSpacing/>
      </w:pPr>
      <w:bookmarkStart w:id="5" w:name="_Toc111627592"/>
      <w:r w:rsidRPr="00F33B3D">
        <w:t>Background</w:t>
      </w:r>
      <w:bookmarkEnd w:id="5"/>
    </w:p>
    <w:p w14:paraId="60A0D7DB" w14:textId="32FF6227" w:rsidR="00F32574" w:rsidRDefault="00FA4497" w:rsidP="00F32574">
      <w:pPr>
        <w:pStyle w:val="BodyText"/>
        <w:contextualSpacing/>
        <w:rPr>
          <w:rFonts w:eastAsiaTheme="minorEastAsia"/>
          <w:color w:val="auto"/>
          <w:szCs w:val="22"/>
        </w:rPr>
      </w:pPr>
      <w:r w:rsidRPr="00FA4497">
        <w:br/>
      </w:r>
      <w:r w:rsidR="00F32574" w:rsidRPr="004B11B7">
        <w:rPr>
          <w:rFonts w:eastAsiaTheme="minorEastAsia"/>
          <w:color w:val="auto"/>
          <w:szCs w:val="22"/>
        </w:rPr>
        <w:t xml:space="preserve">M&amp;S </w:t>
      </w:r>
      <w:r w:rsidR="00F05002">
        <w:rPr>
          <w:rFonts w:eastAsiaTheme="minorEastAsia"/>
          <w:color w:val="auto"/>
          <w:szCs w:val="22"/>
        </w:rPr>
        <w:t>is</w:t>
      </w:r>
      <w:r w:rsidR="00F32574" w:rsidRPr="004B11B7">
        <w:rPr>
          <w:rFonts w:eastAsiaTheme="minorEastAsia"/>
          <w:color w:val="auto"/>
          <w:szCs w:val="22"/>
        </w:rPr>
        <w:t xml:space="preserve"> becoming increasingly </w:t>
      </w:r>
      <w:r w:rsidR="00F05002">
        <w:rPr>
          <w:rFonts w:eastAsiaTheme="minorEastAsia"/>
          <w:color w:val="auto"/>
          <w:szCs w:val="22"/>
        </w:rPr>
        <w:t>integral</w:t>
      </w:r>
      <w:r w:rsidR="00F32574" w:rsidRPr="004B11B7">
        <w:rPr>
          <w:rFonts w:eastAsiaTheme="minorEastAsia"/>
          <w:color w:val="auto"/>
          <w:szCs w:val="22"/>
        </w:rPr>
        <w:t xml:space="preserve"> </w:t>
      </w:r>
      <w:r w:rsidR="00F05002">
        <w:rPr>
          <w:rFonts w:eastAsiaTheme="minorEastAsia"/>
          <w:color w:val="auto"/>
          <w:szCs w:val="22"/>
        </w:rPr>
        <w:t>to the system</w:t>
      </w:r>
      <w:r w:rsidR="00F32574" w:rsidRPr="004B11B7">
        <w:rPr>
          <w:rFonts w:eastAsiaTheme="minorEastAsia"/>
          <w:color w:val="auto"/>
          <w:szCs w:val="22"/>
        </w:rPr>
        <w:t xml:space="preserve"> development </w:t>
      </w:r>
      <w:r w:rsidR="00F05002">
        <w:rPr>
          <w:rFonts w:eastAsiaTheme="minorEastAsia"/>
          <w:color w:val="auto"/>
          <w:szCs w:val="22"/>
        </w:rPr>
        <w:t>process</w:t>
      </w:r>
      <w:r w:rsidR="00F32574" w:rsidRPr="004B11B7">
        <w:rPr>
          <w:rFonts w:eastAsiaTheme="minorEastAsia"/>
          <w:color w:val="auto"/>
          <w:szCs w:val="22"/>
        </w:rPr>
        <w:t xml:space="preserve"> in the </w:t>
      </w:r>
      <w:r w:rsidR="00F05002">
        <w:rPr>
          <w:rFonts w:eastAsiaTheme="minorEastAsia"/>
          <w:color w:val="auto"/>
          <w:szCs w:val="22"/>
        </w:rPr>
        <w:t>D</w:t>
      </w:r>
      <w:r w:rsidR="005558A1">
        <w:rPr>
          <w:rFonts w:eastAsiaTheme="minorEastAsia"/>
          <w:color w:val="auto"/>
          <w:szCs w:val="22"/>
        </w:rPr>
        <w:t>O</w:t>
      </w:r>
      <w:r w:rsidR="00F05002">
        <w:rPr>
          <w:rFonts w:eastAsiaTheme="minorEastAsia"/>
          <w:color w:val="auto"/>
          <w:szCs w:val="22"/>
        </w:rPr>
        <w:t>D. T</w:t>
      </w:r>
      <w:r w:rsidR="00F32574" w:rsidRPr="004B11B7">
        <w:rPr>
          <w:rFonts w:eastAsiaTheme="minorEastAsia"/>
          <w:color w:val="auto"/>
          <w:szCs w:val="22"/>
        </w:rPr>
        <w:t>he D</w:t>
      </w:r>
      <w:r w:rsidR="005558A1">
        <w:rPr>
          <w:rFonts w:eastAsiaTheme="minorEastAsia"/>
          <w:color w:val="auto"/>
          <w:szCs w:val="22"/>
        </w:rPr>
        <w:t>O</w:t>
      </w:r>
      <w:r w:rsidR="00F32574" w:rsidRPr="004B11B7">
        <w:rPr>
          <w:rFonts w:eastAsiaTheme="minorEastAsia"/>
          <w:color w:val="auto"/>
          <w:szCs w:val="22"/>
        </w:rPr>
        <w:t xml:space="preserve">D established a goal for Enterprise-level Digital Engineering </w:t>
      </w:r>
      <w:r w:rsidR="007B07F8">
        <w:rPr>
          <w:rFonts w:eastAsiaTheme="minorEastAsia"/>
          <w:color w:val="auto"/>
          <w:szCs w:val="22"/>
        </w:rPr>
        <w:t xml:space="preserve">(DE) </w:t>
      </w:r>
      <w:r w:rsidR="00F32574" w:rsidRPr="004B11B7">
        <w:rPr>
          <w:rFonts w:eastAsiaTheme="minorEastAsia"/>
          <w:color w:val="auto"/>
          <w:szCs w:val="22"/>
        </w:rPr>
        <w:t>across the D</w:t>
      </w:r>
      <w:r w:rsidR="005558A1">
        <w:rPr>
          <w:rFonts w:eastAsiaTheme="minorEastAsia"/>
          <w:color w:val="auto"/>
          <w:szCs w:val="22"/>
        </w:rPr>
        <w:t>O</w:t>
      </w:r>
      <w:r w:rsidR="00F32574" w:rsidRPr="004B11B7">
        <w:rPr>
          <w:rFonts w:eastAsiaTheme="minorEastAsia"/>
          <w:color w:val="auto"/>
          <w:szCs w:val="22"/>
        </w:rPr>
        <w:t xml:space="preserve">D </w:t>
      </w:r>
      <w:r w:rsidR="00A9376B">
        <w:rPr>
          <w:rFonts w:eastAsiaTheme="minorEastAsia"/>
          <w:color w:val="auto"/>
          <w:szCs w:val="22"/>
        </w:rPr>
        <w:t>to</w:t>
      </w:r>
      <w:r w:rsidR="00F05002">
        <w:rPr>
          <w:rFonts w:eastAsiaTheme="minorEastAsia"/>
          <w:color w:val="auto"/>
          <w:szCs w:val="22"/>
        </w:rPr>
        <w:t xml:space="preserve"> reduce the length of the </w:t>
      </w:r>
      <w:r w:rsidR="00F32574" w:rsidRPr="004B11B7">
        <w:rPr>
          <w:rFonts w:eastAsiaTheme="minorEastAsia"/>
          <w:color w:val="auto"/>
          <w:szCs w:val="22"/>
        </w:rPr>
        <w:t>acquisitio</w:t>
      </w:r>
      <w:r w:rsidR="00F05002">
        <w:rPr>
          <w:rFonts w:eastAsiaTheme="minorEastAsia"/>
          <w:color w:val="auto"/>
          <w:szCs w:val="22"/>
        </w:rPr>
        <w:t>n lifecycle</w:t>
      </w:r>
      <w:r w:rsidR="00F32574" w:rsidRPr="004B11B7">
        <w:rPr>
          <w:rFonts w:eastAsiaTheme="minorEastAsia"/>
          <w:color w:val="auto"/>
          <w:szCs w:val="22"/>
        </w:rPr>
        <w:t xml:space="preserve"> (Deputy Assistant Secretary of Defense for Systems E</w:t>
      </w:r>
      <w:r w:rsidR="00F05002">
        <w:rPr>
          <w:rFonts w:eastAsiaTheme="minorEastAsia"/>
          <w:color w:val="auto"/>
          <w:szCs w:val="22"/>
        </w:rPr>
        <w:t xml:space="preserve">ngineering (DASD(SE)), 2018). </w:t>
      </w:r>
      <w:r w:rsidR="00055E1B">
        <w:rPr>
          <w:rFonts w:eastAsiaTheme="minorEastAsia"/>
          <w:color w:val="auto"/>
          <w:szCs w:val="22"/>
        </w:rPr>
        <w:t>DE</w:t>
      </w:r>
      <w:r w:rsidR="00F32574" w:rsidRPr="004B11B7">
        <w:rPr>
          <w:rFonts w:eastAsiaTheme="minorEastAsia"/>
          <w:color w:val="auto"/>
          <w:szCs w:val="22"/>
        </w:rPr>
        <w:t xml:space="preserve"> is </w:t>
      </w:r>
      <w:r w:rsidR="00F05002" w:rsidRPr="004B11B7">
        <w:rPr>
          <w:rFonts w:eastAsiaTheme="minorEastAsia"/>
          <w:color w:val="auto"/>
          <w:szCs w:val="22"/>
        </w:rPr>
        <w:t>reliant on</w:t>
      </w:r>
      <w:r w:rsidR="00F32574" w:rsidRPr="004B11B7">
        <w:rPr>
          <w:rFonts w:eastAsiaTheme="minorEastAsia"/>
          <w:color w:val="auto"/>
          <w:szCs w:val="22"/>
        </w:rPr>
        <w:t xml:space="preserve"> the use of M&amp;S, </w:t>
      </w:r>
      <w:r w:rsidR="00F05002">
        <w:rPr>
          <w:rFonts w:eastAsiaTheme="minorEastAsia"/>
          <w:color w:val="auto"/>
          <w:szCs w:val="22"/>
        </w:rPr>
        <w:t>and</w:t>
      </w:r>
      <w:r w:rsidR="00F32574" w:rsidRPr="004B11B7">
        <w:rPr>
          <w:rFonts w:eastAsiaTheme="minorEastAsia"/>
          <w:color w:val="auto"/>
          <w:szCs w:val="22"/>
        </w:rPr>
        <w:t xml:space="preserve"> the trustworthiness of models </w:t>
      </w:r>
      <w:r w:rsidR="00F05002">
        <w:rPr>
          <w:rFonts w:eastAsiaTheme="minorEastAsia"/>
          <w:color w:val="auto"/>
          <w:szCs w:val="22"/>
        </w:rPr>
        <w:t>i</w:t>
      </w:r>
      <w:r w:rsidR="0023720E">
        <w:rPr>
          <w:rFonts w:eastAsiaTheme="minorEastAsia"/>
          <w:color w:val="auto"/>
          <w:szCs w:val="22"/>
        </w:rPr>
        <w:t xml:space="preserve">s </w:t>
      </w:r>
      <w:r w:rsidR="008B044A">
        <w:rPr>
          <w:rFonts w:eastAsiaTheme="minorEastAsia"/>
          <w:color w:val="auto"/>
          <w:szCs w:val="22"/>
        </w:rPr>
        <w:t>an important consideration</w:t>
      </w:r>
      <w:r w:rsidR="0023720E">
        <w:rPr>
          <w:rFonts w:eastAsiaTheme="minorEastAsia"/>
          <w:color w:val="auto"/>
          <w:szCs w:val="22"/>
        </w:rPr>
        <w:t xml:space="preserve"> in the design and test of complex systems</w:t>
      </w:r>
      <w:r w:rsidR="00F32574" w:rsidRPr="004B11B7">
        <w:rPr>
          <w:rFonts w:eastAsiaTheme="minorEastAsia"/>
          <w:color w:val="auto"/>
          <w:szCs w:val="22"/>
        </w:rPr>
        <w:t>.</w:t>
      </w:r>
    </w:p>
    <w:p w14:paraId="1585CE1E" w14:textId="77777777" w:rsidR="00F32574" w:rsidRDefault="00F32574" w:rsidP="00F32574">
      <w:pPr>
        <w:pStyle w:val="BodyText"/>
        <w:contextualSpacing/>
        <w:rPr>
          <w:rFonts w:eastAsiaTheme="minorEastAsia"/>
          <w:color w:val="auto"/>
          <w:szCs w:val="22"/>
        </w:rPr>
      </w:pPr>
    </w:p>
    <w:p w14:paraId="6D4E58D2" w14:textId="473277EB" w:rsidR="00055E1B" w:rsidRDefault="00F32574" w:rsidP="00F32574">
      <w:pPr>
        <w:pStyle w:val="BodyText"/>
        <w:contextualSpacing/>
        <w:rPr>
          <w:rFonts w:eastAsiaTheme="minorEastAsia"/>
          <w:color w:val="auto"/>
          <w:szCs w:val="22"/>
        </w:rPr>
      </w:pPr>
      <w:r>
        <w:rPr>
          <w:rFonts w:eastAsiaTheme="minorEastAsia"/>
          <w:color w:val="auto"/>
          <w:szCs w:val="22"/>
        </w:rPr>
        <w:t xml:space="preserve">Increased usage of </w:t>
      </w:r>
      <w:r w:rsidR="00A9376B">
        <w:rPr>
          <w:rFonts w:eastAsiaTheme="minorEastAsia"/>
          <w:color w:val="auto"/>
          <w:szCs w:val="22"/>
        </w:rPr>
        <w:t>DE</w:t>
      </w:r>
      <w:r>
        <w:rPr>
          <w:rFonts w:eastAsiaTheme="minorEastAsia"/>
          <w:color w:val="auto"/>
          <w:szCs w:val="22"/>
        </w:rPr>
        <w:t xml:space="preserve"> has led to a need for rigorous methods of model validation. </w:t>
      </w:r>
      <w:r w:rsidR="00714063">
        <w:rPr>
          <w:rFonts w:eastAsiaTheme="minorEastAsia"/>
          <w:color w:val="auto"/>
          <w:szCs w:val="22"/>
        </w:rPr>
        <w:t>S</w:t>
      </w:r>
      <w:r>
        <w:rPr>
          <w:rFonts w:eastAsiaTheme="minorEastAsia"/>
          <w:color w:val="auto"/>
          <w:szCs w:val="22"/>
        </w:rPr>
        <w:t xml:space="preserve">uch validation should be consistently applied at an enterprise level and emphasize continuous validation that allows model reassessment in response to changing data availability or changes in scope as models are adapted for new uses. Rigorous validation requires </w:t>
      </w:r>
      <w:r w:rsidR="00055E1B">
        <w:rPr>
          <w:rFonts w:eastAsiaTheme="minorEastAsia"/>
          <w:color w:val="auto"/>
          <w:szCs w:val="22"/>
        </w:rPr>
        <w:t xml:space="preserve">the </w:t>
      </w:r>
      <w:r>
        <w:rPr>
          <w:rFonts w:eastAsiaTheme="minorEastAsia"/>
          <w:color w:val="auto"/>
          <w:szCs w:val="22"/>
        </w:rPr>
        <w:t>examination of a model</w:t>
      </w:r>
      <w:r w:rsidRPr="008865D9">
        <w:rPr>
          <w:rFonts w:eastAsiaTheme="minorEastAsia"/>
          <w:color w:val="auto"/>
          <w:szCs w:val="22"/>
        </w:rPr>
        <w:t xml:space="preserve"> in terms of three pillars: sufficient fidelity, appropriate referents, and a specific i</w:t>
      </w:r>
      <w:r>
        <w:rPr>
          <w:rFonts w:eastAsiaTheme="minorEastAsia"/>
          <w:color w:val="auto"/>
          <w:szCs w:val="22"/>
        </w:rPr>
        <w:t>ntended use (Ahner et al.</w:t>
      </w:r>
      <w:r w:rsidR="000144D9">
        <w:rPr>
          <w:rFonts w:eastAsiaTheme="minorEastAsia"/>
          <w:color w:val="auto"/>
          <w:szCs w:val="22"/>
        </w:rPr>
        <w:t>,</w:t>
      </w:r>
      <w:r>
        <w:rPr>
          <w:rFonts w:eastAsiaTheme="minorEastAsia"/>
          <w:color w:val="auto"/>
          <w:szCs w:val="22"/>
        </w:rPr>
        <w:t xml:space="preserve"> 2021), hereafter referred to as fidelity, referent authority, and scope</w:t>
      </w:r>
      <w:r w:rsidR="00055E1B">
        <w:rPr>
          <w:rFonts w:eastAsiaTheme="minorEastAsia"/>
          <w:color w:val="auto"/>
          <w:szCs w:val="22"/>
        </w:rPr>
        <w:t>,</w:t>
      </w:r>
      <w:r>
        <w:rPr>
          <w:rFonts w:eastAsiaTheme="minorEastAsia"/>
          <w:color w:val="auto"/>
          <w:szCs w:val="22"/>
        </w:rPr>
        <w:t xml:space="preserve"> respectively. </w:t>
      </w:r>
    </w:p>
    <w:p w14:paraId="659DE300" w14:textId="77777777" w:rsidR="00055E1B" w:rsidRDefault="00055E1B" w:rsidP="00F32574">
      <w:pPr>
        <w:pStyle w:val="BodyText"/>
        <w:contextualSpacing/>
        <w:rPr>
          <w:rFonts w:eastAsiaTheme="minorEastAsia"/>
          <w:color w:val="auto"/>
          <w:szCs w:val="22"/>
        </w:rPr>
      </w:pPr>
    </w:p>
    <w:p w14:paraId="010E8BF8" w14:textId="2039298A" w:rsidR="0001386D" w:rsidRPr="00C10AA4" w:rsidRDefault="00714063" w:rsidP="00055E1B">
      <w:pPr>
        <w:pStyle w:val="BodyText"/>
        <w:contextualSpacing/>
        <w:rPr>
          <w:rFonts w:eastAsiaTheme="minorEastAsia"/>
          <w:color w:val="auto"/>
          <w:szCs w:val="22"/>
        </w:rPr>
      </w:pPr>
      <w:r>
        <w:rPr>
          <w:rFonts w:eastAsiaTheme="minorEastAsia"/>
          <w:color w:val="auto"/>
          <w:szCs w:val="22"/>
        </w:rPr>
        <w:t>The first pillar of f</w:t>
      </w:r>
      <w:r w:rsidR="00F32574">
        <w:rPr>
          <w:rFonts w:eastAsiaTheme="minorEastAsia"/>
          <w:color w:val="auto"/>
          <w:szCs w:val="22"/>
        </w:rPr>
        <w:t xml:space="preserve">idelity addresses whether a model accurately matches </w:t>
      </w:r>
      <w:r w:rsidR="00A9376B">
        <w:rPr>
          <w:rFonts w:eastAsiaTheme="minorEastAsia"/>
          <w:color w:val="auto"/>
          <w:szCs w:val="22"/>
        </w:rPr>
        <w:t>reality and</w:t>
      </w:r>
      <w:r w:rsidR="00F32574">
        <w:rPr>
          <w:rFonts w:eastAsiaTheme="minorEastAsia"/>
          <w:color w:val="auto"/>
          <w:szCs w:val="22"/>
        </w:rPr>
        <w:t xml:space="preserve"> is perhaps the most fundamental pillar in determining the trustworthiness of a model. </w:t>
      </w:r>
      <w:r>
        <w:rPr>
          <w:rFonts w:eastAsiaTheme="minorEastAsia"/>
          <w:color w:val="auto"/>
          <w:szCs w:val="22"/>
        </w:rPr>
        <w:t>Second, r</w:t>
      </w:r>
      <w:r w:rsidR="00F32574">
        <w:rPr>
          <w:rFonts w:eastAsiaTheme="minorEastAsia"/>
          <w:color w:val="auto"/>
          <w:szCs w:val="22"/>
        </w:rPr>
        <w:t xml:space="preserve">eferent </w:t>
      </w:r>
      <w:r w:rsidR="00F32574">
        <w:rPr>
          <w:rFonts w:eastAsiaTheme="minorEastAsia"/>
          <w:color w:val="auto"/>
          <w:szCs w:val="22"/>
        </w:rPr>
        <w:lastRenderedPageBreak/>
        <w:t xml:space="preserve">authority addresses the extent to which our knowledge of reality is </w:t>
      </w:r>
      <w:r w:rsidR="00F32574" w:rsidRPr="006109C9">
        <w:rPr>
          <w:rFonts w:eastAsiaTheme="minorEastAsia"/>
          <w:color w:val="auto"/>
          <w:szCs w:val="22"/>
        </w:rPr>
        <w:t>reliable</w:t>
      </w:r>
      <w:r w:rsidR="00F32574">
        <w:rPr>
          <w:rFonts w:eastAsiaTheme="minorEastAsia"/>
          <w:color w:val="auto"/>
          <w:szCs w:val="22"/>
        </w:rPr>
        <w:t xml:space="preserve">. In practice, we </w:t>
      </w:r>
      <w:r w:rsidR="005558A1">
        <w:rPr>
          <w:rFonts w:eastAsiaTheme="minorEastAsia"/>
          <w:color w:val="auto"/>
          <w:szCs w:val="22"/>
        </w:rPr>
        <w:t xml:space="preserve">do not </w:t>
      </w:r>
      <w:r w:rsidR="00F32574">
        <w:rPr>
          <w:rFonts w:eastAsiaTheme="minorEastAsia"/>
          <w:color w:val="auto"/>
          <w:szCs w:val="22"/>
        </w:rPr>
        <w:t xml:space="preserve">perfectly know reality, and a model must be assessed against information sources, or referents, that themselves are inaccurate. The model inherits trust from the referents it is assessed against. In examining referent authority, we assess how much trust can be placed in these referents, and by extension how much trust can be </w:t>
      </w:r>
      <w:r w:rsidR="00D64146">
        <w:rPr>
          <w:rFonts w:eastAsiaTheme="minorEastAsia"/>
          <w:color w:val="auto"/>
          <w:szCs w:val="22"/>
        </w:rPr>
        <w:t xml:space="preserve">placed in </w:t>
      </w:r>
      <w:r w:rsidR="00F32574">
        <w:rPr>
          <w:rFonts w:eastAsiaTheme="minorEastAsia"/>
          <w:color w:val="auto"/>
          <w:szCs w:val="22"/>
        </w:rPr>
        <w:t xml:space="preserve">a model. </w:t>
      </w:r>
      <w:r>
        <w:rPr>
          <w:rFonts w:eastAsiaTheme="minorEastAsia"/>
          <w:color w:val="auto"/>
          <w:szCs w:val="22"/>
        </w:rPr>
        <w:t>Finally, t</w:t>
      </w:r>
      <w:r w:rsidR="00F32574">
        <w:rPr>
          <w:rFonts w:eastAsiaTheme="minorEastAsia"/>
          <w:color w:val="auto"/>
          <w:szCs w:val="22"/>
        </w:rPr>
        <w:t>he pillar of scope compares the intended use of a model to the actual realization of a model. That is, we must assess whether a model reflects the entire range of operational, environmental, or system factors that need to be modeled to support the mission. Below, we further define each pillar and the mathematical concepts that must be considered in their assessment. Furthermore, we provide metrics and mathematical constructs which provide quantitative assessments of each pillar.</w:t>
      </w:r>
      <w:r w:rsidR="004C01D7" w:rsidRPr="005E7EAC">
        <w:br/>
      </w:r>
    </w:p>
    <w:p w14:paraId="1E98E110" w14:textId="6D2F5B05" w:rsidR="0001386D" w:rsidRPr="00EB0429" w:rsidRDefault="00325B1A" w:rsidP="0001386D">
      <w:pPr>
        <w:pStyle w:val="APALevelHeading2"/>
        <w:rPr>
          <w:rFonts w:cs="Arial"/>
          <w:szCs w:val="22"/>
        </w:rPr>
      </w:pPr>
      <w:bookmarkStart w:id="6" w:name="_Toc111627593"/>
      <w:r w:rsidRPr="00EB0429">
        <w:rPr>
          <w:rFonts w:cs="Arial"/>
          <w:szCs w:val="22"/>
        </w:rPr>
        <w:t xml:space="preserve">Model-Referent </w:t>
      </w:r>
      <w:r w:rsidR="00392541" w:rsidRPr="00EB0429">
        <w:rPr>
          <w:rFonts w:cs="Arial"/>
          <w:szCs w:val="22"/>
        </w:rPr>
        <w:t>Fidelity</w:t>
      </w:r>
      <w:bookmarkEnd w:id="6"/>
    </w:p>
    <w:p w14:paraId="3A820483" w14:textId="61922B5B" w:rsidR="003B5865" w:rsidRPr="00EB0429" w:rsidRDefault="003B5865" w:rsidP="003B5865">
      <w:pPr>
        <w:pStyle w:val="APALevelHeading2"/>
        <w:rPr>
          <w:rFonts w:cs="Arial"/>
          <w:bCs/>
          <w:szCs w:val="24"/>
        </w:rPr>
      </w:pPr>
    </w:p>
    <w:p w14:paraId="0997D0F7" w14:textId="1A66E9AA" w:rsidR="00392541" w:rsidRDefault="00392541" w:rsidP="00392541">
      <w:pPr>
        <w:pStyle w:val="BodyText"/>
      </w:pPr>
      <w:r>
        <w:t>A</w:t>
      </w:r>
      <w:r w:rsidR="00CF0796">
        <w:t>n</w:t>
      </w:r>
      <w:r>
        <w:t xml:space="preserve"> </w:t>
      </w:r>
      <w:r w:rsidR="00CF0796">
        <w:t>assessment</w:t>
      </w:r>
      <w:r>
        <w:t xml:space="preserve"> of fidelity </w:t>
      </w:r>
      <w:r w:rsidR="00D64146">
        <w:t xml:space="preserve">makes </w:t>
      </w:r>
      <w:r>
        <w:t xml:space="preserve">a direct comparison of model outputs to referent information, which represents the reality a model is intended to reflect. This comparison is the </w:t>
      </w:r>
      <w:r w:rsidR="00D64146">
        <w:t xml:space="preserve">central </w:t>
      </w:r>
      <w:r>
        <w:t xml:space="preserve">goal of validation, and proper assessment of fidelity forms the backbone of our </w:t>
      </w:r>
      <w:r w:rsidR="002F400B">
        <w:t>MVL</w:t>
      </w:r>
      <w:r>
        <w:t xml:space="preserve"> assessment.</w:t>
      </w:r>
    </w:p>
    <w:p w14:paraId="20383D3E" w14:textId="77777777" w:rsidR="00392541" w:rsidRDefault="00392541" w:rsidP="00392541">
      <w:pPr>
        <w:pStyle w:val="BodyText"/>
      </w:pPr>
    </w:p>
    <w:p w14:paraId="28923F21" w14:textId="6BF4D599" w:rsidR="00392541" w:rsidRDefault="00392541" w:rsidP="00392541">
      <w:pPr>
        <w:pStyle w:val="BodyText"/>
      </w:pPr>
      <w:r>
        <w:t>The detailed considerations and construction of a fidelity metric are discussed in the S</w:t>
      </w:r>
      <w:r w:rsidR="00714063">
        <w:t xml:space="preserve">cientific </w:t>
      </w:r>
      <w:r>
        <w:t>T</w:t>
      </w:r>
      <w:r w:rsidR="00714063">
        <w:t xml:space="preserve">est and </w:t>
      </w:r>
      <w:r>
        <w:t>A</w:t>
      </w:r>
      <w:r w:rsidR="00714063">
        <w:t xml:space="preserve">nalysis </w:t>
      </w:r>
      <w:r>
        <w:t>T</w:t>
      </w:r>
      <w:r w:rsidR="00714063">
        <w:t>echniques (STAT)</w:t>
      </w:r>
      <w:r>
        <w:t xml:space="preserve"> </w:t>
      </w:r>
      <w:r w:rsidR="00714063">
        <w:t>Center of Excellence (</w:t>
      </w:r>
      <w:r>
        <w:t>COE</w:t>
      </w:r>
      <w:r w:rsidR="00714063">
        <w:t>) Best P</w:t>
      </w:r>
      <w:r>
        <w:t xml:space="preserve">ractice, </w:t>
      </w:r>
      <w:r w:rsidRPr="00B649BD">
        <w:t>Constructing a Metric for Fidelity in Model Validation</w:t>
      </w:r>
      <w:r>
        <w:t xml:space="preserve"> (Weeks</w:t>
      </w:r>
      <w:r w:rsidR="000144D9">
        <w:t>,</w:t>
      </w:r>
      <w:r>
        <w:t xml:space="preserve"> 2022). Here, we will present a condensed look at the mathematical considerations for a fidelity metric.</w:t>
      </w:r>
    </w:p>
    <w:p w14:paraId="0D8C9308" w14:textId="77777777" w:rsidR="00392541" w:rsidRDefault="00392541" w:rsidP="00392541">
      <w:pPr>
        <w:pStyle w:val="BodyText"/>
      </w:pPr>
    </w:p>
    <w:p w14:paraId="64F15CAA" w14:textId="2BAFA8B9" w:rsidR="00392541" w:rsidRDefault="00392541" w:rsidP="00392541">
      <w:pPr>
        <w:pStyle w:val="BodyText"/>
      </w:pPr>
      <w:r>
        <w:t xml:space="preserve">To adequately capture </w:t>
      </w:r>
      <w:r w:rsidR="00D62D39">
        <w:t xml:space="preserve">the dimensions of accuracy, repeatability and resolution, the </w:t>
      </w:r>
      <w:r w:rsidR="00601AF7">
        <w:t xml:space="preserve">fidelity quantification </w:t>
      </w:r>
      <w:r w:rsidR="00D62D39">
        <w:t xml:space="preserve">approach uses two </w:t>
      </w:r>
      <w:r w:rsidR="004F1E52">
        <w:t>sub-</w:t>
      </w:r>
      <w:r w:rsidR="00D62D39">
        <w:t xml:space="preserve">metrics. The first </w:t>
      </w:r>
      <w:r w:rsidR="004F1E52">
        <w:t>sub-</w:t>
      </w:r>
      <w:r w:rsidR="002F400B">
        <w:t xml:space="preserve">metric </w:t>
      </w:r>
      <w:r w:rsidR="00D62D39">
        <w:t>assesses accuracy, and the second</w:t>
      </w:r>
      <w:r w:rsidR="002F400B">
        <w:t xml:space="preserve"> </w:t>
      </w:r>
      <w:r w:rsidR="004F1E52">
        <w:t>sub-</w:t>
      </w:r>
      <w:r w:rsidR="002F400B">
        <w:t>metric</w:t>
      </w:r>
      <w:r w:rsidR="00D62D39">
        <w:t xml:space="preserve"> addresses repeatability and resolution as a single</w:t>
      </w:r>
      <w:r w:rsidR="00CC3CB1">
        <w:t>-</w:t>
      </w:r>
      <w:r w:rsidR="00D62D39">
        <w:t>variability assessment.</w:t>
      </w:r>
    </w:p>
    <w:p w14:paraId="1A7CDFE5" w14:textId="77777777" w:rsidR="00392541" w:rsidRDefault="00392541" w:rsidP="00392541">
      <w:pPr>
        <w:pStyle w:val="BodyText"/>
      </w:pPr>
    </w:p>
    <w:p w14:paraId="43A60A84" w14:textId="6385AB14" w:rsidR="00392541" w:rsidRDefault="00392541" w:rsidP="00392541">
      <w:pPr>
        <w:pStyle w:val="BodyText"/>
      </w:pPr>
      <w:r w:rsidRPr="00420E0F">
        <w:t xml:space="preserve">The accuracy </w:t>
      </w:r>
      <w:r w:rsidR="004F1E52">
        <w:t>sub-</w:t>
      </w:r>
      <w:r w:rsidRPr="00420E0F">
        <w:t xml:space="preserve">metric </w:t>
      </w:r>
      <m:oMath>
        <m:sSub>
          <m:sSubPr>
            <m:ctrlPr>
              <w:rPr>
                <w:rFonts w:ascii="Cambria Math" w:hAnsi="Cambria Math"/>
              </w:rPr>
            </m:ctrlPr>
          </m:sSubPr>
          <m:e>
            <m:r>
              <w:rPr>
                <w:rFonts w:ascii="Cambria Math" w:hAnsi="Cambria Math"/>
              </w:rPr>
              <m:t>f</m:t>
            </m:r>
          </m:e>
          <m:sub>
            <m:r>
              <w:rPr>
                <w:rFonts w:ascii="Cambria Math" w:hAnsi="Cambria Math"/>
              </w:rPr>
              <m:t>a</m:t>
            </m:r>
          </m:sub>
        </m:sSub>
      </m:oMath>
      <w:r w:rsidRPr="00420E0F">
        <w:t xml:space="preserve"> is defined in Equation </w:t>
      </w:r>
      <w:r>
        <w:t>1.1</w:t>
      </w:r>
      <w:r w:rsidRPr="00420E0F">
        <w:t xml:space="preserve"> and assesses the </w:t>
      </w:r>
      <w:r>
        <w:t>model’s accuracy</w:t>
      </w:r>
      <w:r w:rsidRPr="00420E0F">
        <w:t xml:space="preserve"> with respect to the referent</w:t>
      </w:r>
      <w:r>
        <w:t xml:space="preserve">. </w:t>
      </w:r>
    </w:p>
    <w:p w14:paraId="1A01078B" w14:textId="2A516D3F" w:rsidR="00DF4283" w:rsidRDefault="00DF4283" w:rsidP="00392541">
      <w:pPr>
        <w:pStyle w:val="BodyText"/>
      </w:pPr>
    </w:p>
    <w:p w14:paraId="10D8C755" w14:textId="41EF4B45" w:rsidR="00DF4283" w:rsidRDefault="00DF4283" w:rsidP="00EB0429">
      <w:pPr>
        <w:pStyle w:val="BodyText"/>
        <w:tabs>
          <w:tab w:val="center" w:pos="4680"/>
          <w:tab w:val="right" w:pos="9360"/>
        </w:tabs>
      </w:pPr>
      <w:r>
        <w:rPr>
          <w:rFonts w:eastAsiaTheme="minorEastAsia"/>
          <w:sz w:val="28"/>
          <w:szCs w:val="44"/>
        </w:rPr>
        <w:tab/>
      </w:r>
      <m:oMath>
        <m:sSub>
          <m:sSubPr>
            <m:ctrlPr>
              <w:rPr>
                <w:rFonts w:ascii="Cambria Math" w:hAnsi="Cambria Math"/>
                <w:sz w:val="28"/>
                <w:szCs w:val="44"/>
              </w:rPr>
            </m:ctrlPr>
          </m:sSubPr>
          <m:e>
            <m:r>
              <w:rPr>
                <w:rFonts w:ascii="Cambria Math" w:hAnsi="Cambria Math"/>
                <w:sz w:val="28"/>
                <w:szCs w:val="44"/>
              </w:rPr>
              <m:t>f</m:t>
            </m:r>
          </m:e>
          <m:sub>
            <m:r>
              <w:rPr>
                <w:rFonts w:ascii="Cambria Math" w:hAnsi="Cambria Math"/>
                <w:sz w:val="28"/>
                <w:szCs w:val="44"/>
              </w:rPr>
              <m:t>a</m:t>
            </m:r>
          </m:sub>
        </m:sSub>
        <m:r>
          <m:rPr>
            <m:sty m:val="p"/>
          </m:rPr>
          <w:rPr>
            <w:rFonts w:ascii="Cambria Math" w:hAnsi="Cambria Math"/>
            <w:sz w:val="28"/>
            <w:szCs w:val="44"/>
          </w:rPr>
          <m:t>=</m:t>
        </m:r>
        <m:sSup>
          <m:sSupPr>
            <m:ctrlPr>
              <w:rPr>
                <w:rFonts w:ascii="Cambria Math" w:hAnsi="Cambria Math"/>
                <w:sz w:val="28"/>
                <w:szCs w:val="44"/>
              </w:rPr>
            </m:ctrlPr>
          </m:sSupPr>
          <m:e>
            <m:r>
              <w:rPr>
                <w:rFonts w:ascii="Cambria Math" w:hAnsi="Cambria Math"/>
                <w:sz w:val="28"/>
                <w:szCs w:val="44"/>
              </w:rPr>
              <m:t>e</m:t>
            </m:r>
          </m:e>
          <m:sup>
            <m:r>
              <m:rPr>
                <m:sty m:val="p"/>
              </m:rPr>
              <w:rPr>
                <w:rFonts w:ascii="Cambria Math" w:hAnsi="Cambria Math"/>
                <w:sz w:val="28"/>
                <w:szCs w:val="44"/>
              </w:rPr>
              <m:t>-</m:t>
            </m:r>
            <m:f>
              <m:fPr>
                <m:ctrlPr>
                  <w:rPr>
                    <w:rFonts w:ascii="Cambria Math" w:hAnsi="Cambria Math"/>
                    <w:i/>
                    <w:iCs/>
                    <w:sz w:val="28"/>
                    <w:szCs w:val="44"/>
                  </w:rPr>
                </m:ctrlPr>
              </m:fPr>
              <m:num>
                <m:r>
                  <w:rPr>
                    <w:rFonts w:ascii="Cambria Math" w:hAnsi="Cambria Math"/>
                    <w:sz w:val="28"/>
                    <w:szCs w:val="44"/>
                  </w:rPr>
                  <m:t>1</m:t>
                </m:r>
              </m:num>
              <m:den>
                <m:r>
                  <w:rPr>
                    <w:rFonts w:ascii="Cambria Math" w:hAnsi="Cambria Math"/>
                    <w:sz w:val="28"/>
                    <w:szCs w:val="44"/>
                  </w:rPr>
                  <m:t>2</m:t>
                </m:r>
              </m:den>
            </m:f>
            <m:sSup>
              <m:sSupPr>
                <m:ctrlPr>
                  <w:rPr>
                    <w:rFonts w:ascii="Cambria Math" w:hAnsi="Cambria Math"/>
                    <w:i/>
                    <w:iCs/>
                    <w:sz w:val="28"/>
                    <w:szCs w:val="44"/>
                  </w:rPr>
                </m:ctrlPr>
              </m:sSupPr>
              <m:e>
                <m:d>
                  <m:dPr>
                    <m:ctrlPr>
                      <w:rPr>
                        <w:rFonts w:ascii="Cambria Math" w:hAnsi="Cambria Math"/>
                        <w:i/>
                        <w:iCs/>
                        <w:sz w:val="28"/>
                        <w:szCs w:val="44"/>
                      </w:rPr>
                    </m:ctrlPr>
                  </m:dPr>
                  <m:e>
                    <m:f>
                      <m:fPr>
                        <m:ctrlPr>
                          <w:rPr>
                            <w:rFonts w:ascii="Cambria Math" w:hAnsi="Cambria Math"/>
                            <w:i/>
                            <w:iCs/>
                            <w:sz w:val="28"/>
                            <w:szCs w:val="44"/>
                          </w:rPr>
                        </m:ctrlPr>
                      </m:fPr>
                      <m:num>
                        <m:sSub>
                          <m:sSubPr>
                            <m:ctrlPr>
                              <w:rPr>
                                <w:rFonts w:ascii="Cambria Math" w:hAnsi="Cambria Math"/>
                                <w:i/>
                                <w:iCs/>
                                <w:sz w:val="28"/>
                                <w:szCs w:val="44"/>
                              </w:rPr>
                            </m:ctrlPr>
                          </m:sSubPr>
                          <m:e>
                            <m:acc>
                              <m:accPr>
                                <m:chr m:val="̅"/>
                                <m:ctrlPr>
                                  <w:rPr>
                                    <w:rFonts w:ascii="Cambria Math" w:hAnsi="Cambria Math"/>
                                    <w:i/>
                                    <w:iCs/>
                                    <w:sz w:val="28"/>
                                    <w:szCs w:val="44"/>
                                  </w:rPr>
                                </m:ctrlPr>
                              </m:accPr>
                              <m:e>
                                <m:r>
                                  <w:rPr>
                                    <w:rFonts w:ascii="Cambria Math" w:hAnsi="Cambria Math"/>
                                    <w:sz w:val="28"/>
                                    <w:szCs w:val="44"/>
                                  </w:rPr>
                                  <m:t>x</m:t>
                                </m:r>
                              </m:e>
                            </m:acc>
                          </m:e>
                          <m:sub>
                            <m:r>
                              <w:rPr>
                                <w:rFonts w:ascii="Cambria Math" w:hAnsi="Cambria Math"/>
                                <w:sz w:val="28"/>
                                <w:szCs w:val="44"/>
                              </w:rPr>
                              <m:t>m</m:t>
                            </m:r>
                          </m:sub>
                        </m:sSub>
                        <m:r>
                          <w:rPr>
                            <w:rFonts w:ascii="Cambria Math" w:hAnsi="Cambria Math"/>
                            <w:sz w:val="28"/>
                            <w:szCs w:val="44"/>
                          </w:rPr>
                          <m:t>-</m:t>
                        </m:r>
                        <m:sSub>
                          <m:sSubPr>
                            <m:ctrlPr>
                              <w:rPr>
                                <w:rFonts w:ascii="Cambria Math" w:hAnsi="Cambria Math"/>
                                <w:i/>
                                <w:iCs/>
                                <w:sz w:val="28"/>
                                <w:szCs w:val="44"/>
                              </w:rPr>
                            </m:ctrlPr>
                          </m:sSubPr>
                          <m:e>
                            <m:acc>
                              <m:accPr>
                                <m:chr m:val="̅"/>
                                <m:ctrlPr>
                                  <w:rPr>
                                    <w:rFonts w:ascii="Cambria Math" w:hAnsi="Cambria Math"/>
                                    <w:i/>
                                    <w:iCs/>
                                    <w:sz w:val="28"/>
                                    <w:szCs w:val="44"/>
                                  </w:rPr>
                                </m:ctrlPr>
                              </m:accPr>
                              <m:e>
                                <m:r>
                                  <w:rPr>
                                    <w:rFonts w:ascii="Cambria Math" w:hAnsi="Cambria Math"/>
                                    <w:sz w:val="28"/>
                                    <w:szCs w:val="44"/>
                                  </w:rPr>
                                  <m:t>x</m:t>
                                </m:r>
                              </m:e>
                            </m:acc>
                          </m:e>
                          <m:sub>
                            <m:r>
                              <w:rPr>
                                <w:rFonts w:ascii="Cambria Math" w:hAnsi="Cambria Math"/>
                                <w:sz w:val="28"/>
                                <w:szCs w:val="44"/>
                              </w:rPr>
                              <m:t>r</m:t>
                            </m:r>
                          </m:sub>
                        </m:sSub>
                      </m:num>
                      <m:den>
                        <m:sSubSup>
                          <m:sSubSupPr>
                            <m:ctrlPr>
                              <w:rPr>
                                <w:rFonts w:ascii="Cambria Math" w:hAnsi="Cambria Math"/>
                                <w:i/>
                                <w:iCs/>
                                <w:sz w:val="28"/>
                                <w:szCs w:val="44"/>
                              </w:rPr>
                            </m:ctrlPr>
                          </m:sSubSupPr>
                          <m:e>
                            <m:r>
                              <w:rPr>
                                <w:rFonts w:ascii="Cambria Math" w:hAnsi="Cambria Math"/>
                                <w:sz w:val="28"/>
                                <w:szCs w:val="44"/>
                              </w:rPr>
                              <m:t>s</m:t>
                            </m:r>
                          </m:e>
                          <m:sub>
                            <m:r>
                              <w:rPr>
                                <w:rFonts w:ascii="Cambria Math" w:hAnsi="Cambria Math"/>
                                <w:sz w:val="28"/>
                                <w:szCs w:val="44"/>
                              </w:rPr>
                              <m:t>r</m:t>
                            </m:r>
                          </m:sub>
                          <m:sup>
                            <m:r>
                              <w:rPr>
                                <w:rFonts w:ascii="Cambria Math" w:hAnsi="Cambria Math"/>
                                <w:sz w:val="28"/>
                                <w:szCs w:val="44"/>
                              </w:rPr>
                              <m:t>*</m:t>
                            </m:r>
                          </m:sup>
                        </m:sSubSup>
                      </m:den>
                    </m:f>
                  </m:e>
                </m:d>
              </m:e>
              <m:sup>
                <m:r>
                  <w:rPr>
                    <w:rFonts w:ascii="Cambria Math" w:hAnsi="Cambria Math"/>
                    <w:sz w:val="28"/>
                    <w:szCs w:val="44"/>
                  </w:rPr>
                  <m:t>2</m:t>
                </m:r>
              </m:sup>
            </m:sSup>
          </m:sup>
        </m:sSup>
      </m:oMath>
      <w:r>
        <w:rPr>
          <w:rFonts w:eastAsiaTheme="minorEastAsia"/>
          <w:sz w:val="28"/>
          <w:szCs w:val="44"/>
        </w:rPr>
        <w:t xml:space="preserve"> </w:t>
      </w:r>
      <w:r>
        <w:rPr>
          <w:rFonts w:eastAsiaTheme="minorEastAsia"/>
          <w:sz w:val="28"/>
          <w:szCs w:val="44"/>
        </w:rPr>
        <w:tab/>
      </w:r>
      <w:r w:rsidRPr="00EB0429">
        <w:rPr>
          <w:rFonts w:eastAsiaTheme="minorEastAsia"/>
          <w:szCs w:val="22"/>
        </w:rPr>
        <w:t>(1.1)</w:t>
      </w:r>
    </w:p>
    <w:p w14:paraId="0EBD11C0" w14:textId="77777777" w:rsidR="00392541" w:rsidRPr="00420E0F" w:rsidRDefault="00392541" w:rsidP="00392541">
      <w:pPr>
        <w:pStyle w:val="BodyText"/>
      </w:pPr>
    </w:p>
    <w:p w14:paraId="065E9EA9" w14:textId="77777777" w:rsidR="00392541" w:rsidRDefault="00392541" w:rsidP="00392541">
      <w:pPr>
        <w:pStyle w:val="BodyText"/>
      </w:pPr>
      <w:r w:rsidRPr="00420E0F">
        <w:t xml:space="preserve">In Equation </w:t>
      </w:r>
      <w:r>
        <w:t>1.1</w:t>
      </w:r>
      <w:r w:rsidRPr="00420E0F">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m</m:t>
            </m:r>
          </m:sub>
        </m:sSub>
      </m:oMath>
      <w:r w:rsidRPr="00420E0F">
        <w:t xml:space="preserve"> and </w:t>
      </w:r>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r</m:t>
            </m:r>
          </m:sub>
        </m:sSub>
      </m:oMath>
      <w:r w:rsidRPr="00420E0F">
        <w:t xml:space="preserve"> are the sample means of the model and referent, respectively; </w:t>
      </w:r>
      <m:oMath>
        <m:sSubSup>
          <m:sSubSupPr>
            <m:ctrlPr>
              <w:rPr>
                <w:rFonts w:ascii="Cambria Math" w:hAnsi="Cambria Math"/>
              </w:rPr>
            </m:ctrlPr>
          </m:sSubSupPr>
          <m:e>
            <m:r>
              <w:rPr>
                <w:rFonts w:ascii="Cambria Math" w:hAnsi="Cambria Math"/>
              </w:rPr>
              <m:t>s</m:t>
            </m:r>
          </m:e>
          <m:sub>
            <m:r>
              <w:rPr>
                <w:rFonts w:ascii="Cambria Math" w:hAnsi="Cambria Math"/>
              </w:rPr>
              <m:t>r</m:t>
            </m:r>
          </m:sub>
          <m:sup>
            <m:r>
              <m:rPr>
                <m:sty m:val="p"/>
              </m:rPr>
              <w:rPr>
                <w:rFonts w:ascii="Cambria Math" w:hAnsi="Cambria Math"/>
              </w:rPr>
              <m:t>*</m:t>
            </m:r>
          </m:sup>
        </m:sSubSup>
      </m:oMath>
      <w:r w:rsidRPr="00420E0F">
        <w:t xml:space="preserve"> is the resolution-modified standard deviation for the referent.</w:t>
      </w:r>
    </w:p>
    <w:p w14:paraId="76F97DCD" w14:textId="77777777" w:rsidR="00392541" w:rsidRDefault="00392541" w:rsidP="00392541">
      <w:pPr>
        <w:pStyle w:val="BodyText"/>
      </w:pPr>
    </w:p>
    <w:p w14:paraId="5C5C1B74" w14:textId="542C55BD" w:rsidR="00392541" w:rsidRDefault="00392541" w:rsidP="00392541">
      <w:pPr>
        <w:pStyle w:val="BodyText"/>
      </w:pPr>
      <w:r w:rsidRPr="00C222F0">
        <w:t xml:space="preserve">The variability </w:t>
      </w:r>
      <w:r w:rsidR="004F1E52">
        <w:t>sub-</w:t>
      </w:r>
      <w:r w:rsidRPr="00C222F0">
        <w:t xml:space="preserve">metric </w:t>
      </w:r>
      <m:oMath>
        <m:sSub>
          <m:sSubPr>
            <m:ctrlPr>
              <w:rPr>
                <w:rFonts w:ascii="Cambria Math" w:hAnsi="Cambria Math"/>
                <w:i/>
              </w:rPr>
            </m:ctrlPr>
          </m:sSubPr>
          <m:e>
            <m:r>
              <w:rPr>
                <w:rFonts w:ascii="Cambria Math" w:hAnsi="Cambria Math"/>
              </w:rPr>
              <m:t>f</m:t>
            </m:r>
          </m:e>
          <m:sub>
            <m:r>
              <w:rPr>
                <w:rFonts w:ascii="Cambria Math" w:hAnsi="Cambria Math"/>
              </w:rPr>
              <m:t>v</m:t>
            </m:r>
          </m:sub>
        </m:sSub>
      </m:oMath>
      <w:r w:rsidRPr="00C222F0">
        <w:t xml:space="preserve"> is defined in Equation </w:t>
      </w:r>
      <w:r>
        <w:t>1.2</w:t>
      </w:r>
      <w:r w:rsidRPr="00C222F0">
        <w:t xml:space="preserve"> and assesses the similarity in variability between the model and the referent. </w:t>
      </w:r>
      <w:r>
        <w:t>In this case, variability refers to both the aleatory and epistemic uncertainty of the model and referent.</w:t>
      </w:r>
    </w:p>
    <w:p w14:paraId="43E2257A" w14:textId="6D44FABE" w:rsidR="00DF4283" w:rsidRDefault="00DF4283" w:rsidP="00392541">
      <w:pPr>
        <w:pStyle w:val="BodyText"/>
      </w:pPr>
    </w:p>
    <w:p w14:paraId="0A543739" w14:textId="394F1CDB" w:rsidR="00DF4283" w:rsidRDefault="00DF4283" w:rsidP="00EB0429">
      <w:pPr>
        <w:pStyle w:val="BodyText"/>
        <w:tabs>
          <w:tab w:val="center" w:pos="4680"/>
          <w:tab w:val="right" w:pos="9360"/>
        </w:tabs>
      </w:pPr>
      <w:r>
        <w:rPr>
          <w:rFonts w:eastAsiaTheme="minorEastAsia"/>
          <w:sz w:val="28"/>
        </w:rPr>
        <w:tab/>
      </w:r>
      <m:oMath>
        <m:sSub>
          <m:sSubPr>
            <m:ctrlPr>
              <w:rPr>
                <w:rFonts w:ascii="Cambria Math" w:hAnsi="Cambria Math"/>
                <w:i/>
                <w:sz w:val="28"/>
              </w:rPr>
            </m:ctrlPr>
          </m:sSubPr>
          <m:e>
            <m:r>
              <w:rPr>
                <w:rFonts w:ascii="Cambria Math" w:hAnsi="Cambria Math"/>
                <w:sz w:val="28"/>
              </w:rPr>
              <m:t>f</m:t>
            </m:r>
          </m:e>
          <m:sub>
            <m:r>
              <w:rPr>
                <w:rFonts w:ascii="Cambria Math" w:hAnsi="Cambria Math"/>
                <w:sz w:val="28"/>
              </w:rPr>
              <m:t>v</m:t>
            </m:r>
          </m:sub>
        </m:sSub>
        <m:r>
          <m:rPr>
            <m:sty m:val="p"/>
          </m:rPr>
          <w:rPr>
            <w:rFonts w:ascii="Cambria Math" w:hAnsi="Cambria Math"/>
            <w:sz w:val="28"/>
          </w:rPr>
          <m:t>=</m:t>
        </m:r>
        <m:sSup>
          <m:sSupPr>
            <m:ctrlPr>
              <w:rPr>
                <w:rFonts w:ascii="Cambria Math" w:hAnsi="Cambria Math"/>
                <w:i/>
                <w:sz w:val="28"/>
              </w:rPr>
            </m:ctrlPr>
          </m:sSupPr>
          <m:e>
            <m:r>
              <w:rPr>
                <w:rFonts w:ascii="Cambria Math" w:hAnsi="Cambria Math"/>
                <w:sz w:val="28"/>
              </w:rPr>
              <m:t>e</m:t>
            </m:r>
          </m:e>
          <m:sup>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sSubSup>
                      <m:sSubSupPr>
                        <m:ctrlPr>
                          <w:rPr>
                            <w:rFonts w:ascii="Cambria Math" w:hAnsi="Cambria Math"/>
                            <w:i/>
                            <w:sz w:val="28"/>
                          </w:rPr>
                        </m:ctrlPr>
                      </m:sSubSupPr>
                      <m:e>
                        <m:r>
                          <w:rPr>
                            <w:rFonts w:ascii="Cambria Math" w:hAnsi="Cambria Math"/>
                            <w:sz w:val="28"/>
                          </w:rPr>
                          <m:t>(s</m:t>
                        </m:r>
                      </m:e>
                      <m:sub>
                        <m:r>
                          <w:rPr>
                            <w:rFonts w:ascii="Cambria Math" w:hAnsi="Cambria Math"/>
                            <w:sz w:val="28"/>
                          </w:rPr>
                          <m:t>m</m:t>
                        </m:r>
                      </m:sub>
                      <m:sup>
                        <m:r>
                          <w:rPr>
                            <w:rFonts w:ascii="Cambria Math" w:hAnsi="Cambria Math"/>
                            <w:sz w:val="28"/>
                          </w:rPr>
                          <m:t>*</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s</m:t>
                        </m:r>
                      </m:e>
                      <m:sub>
                        <m:r>
                          <w:rPr>
                            <w:rFonts w:ascii="Cambria Math" w:hAnsi="Cambria Math"/>
                            <w:sz w:val="28"/>
                          </w:rPr>
                          <m:t>r</m:t>
                        </m:r>
                      </m:sub>
                      <m:sup>
                        <m:r>
                          <w:rPr>
                            <w:rFonts w:ascii="Cambria Math" w:hAnsi="Cambria Math"/>
                            <w:sz w:val="28"/>
                          </w:rPr>
                          <m:t>*</m:t>
                        </m:r>
                      </m:sup>
                    </m:sSubSup>
                    <m:r>
                      <w:rPr>
                        <w:rFonts w:ascii="Cambria Math" w:hAnsi="Cambria Math"/>
                        <w:sz w:val="28"/>
                      </w:rPr>
                      <m:t>)</m:t>
                    </m:r>
                  </m:e>
                  <m:sup>
                    <m:r>
                      <w:rPr>
                        <w:rFonts w:ascii="Cambria Math" w:hAnsi="Cambria Math"/>
                        <w:sz w:val="28"/>
                      </w:rPr>
                      <m:t>2</m:t>
                    </m:r>
                  </m:sup>
                </m:sSup>
              </m:num>
              <m:den>
                <m:sSubSup>
                  <m:sSubSupPr>
                    <m:ctrlPr>
                      <w:rPr>
                        <w:rFonts w:ascii="Cambria Math" w:hAnsi="Cambria Math"/>
                        <w:i/>
                        <w:sz w:val="28"/>
                      </w:rPr>
                    </m:ctrlPr>
                  </m:sSubSupPr>
                  <m:e>
                    <m:r>
                      <w:rPr>
                        <w:rFonts w:ascii="Cambria Math" w:hAnsi="Cambria Math"/>
                        <w:sz w:val="28"/>
                      </w:rPr>
                      <m:t>s</m:t>
                    </m:r>
                  </m:e>
                  <m:sub>
                    <m:r>
                      <w:rPr>
                        <w:rFonts w:ascii="Cambria Math" w:hAnsi="Cambria Math"/>
                        <w:sz w:val="28"/>
                      </w:rPr>
                      <m:t>m</m:t>
                    </m:r>
                  </m:sub>
                  <m:sup>
                    <m:r>
                      <w:rPr>
                        <w:rFonts w:ascii="Cambria Math" w:hAnsi="Cambria Math"/>
                        <w:sz w:val="28"/>
                      </w:rPr>
                      <m:t>*</m:t>
                    </m:r>
                  </m:sup>
                </m:sSubSup>
                <m:sSubSup>
                  <m:sSubSupPr>
                    <m:ctrlPr>
                      <w:rPr>
                        <w:rFonts w:ascii="Cambria Math" w:hAnsi="Cambria Math"/>
                        <w:i/>
                        <w:sz w:val="28"/>
                      </w:rPr>
                    </m:ctrlPr>
                  </m:sSubSupPr>
                  <m:e>
                    <m:r>
                      <w:rPr>
                        <w:rFonts w:ascii="Cambria Math" w:hAnsi="Cambria Math"/>
                        <w:sz w:val="28"/>
                      </w:rPr>
                      <m:t>s</m:t>
                    </m:r>
                  </m:e>
                  <m:sub>
                    <m:r>
                      <w:rPr>
                        <w:rFonts w:ascii="Cambria Math" w:hAnsi="Cambria Math"/>
                        <w:sz w:val="28"/>
                      </w:rPr>
                      <m:t>r</m:t>
                    </m:r>
                  </m:sub>
                  <m:sup>
                    <m:r>
                      <w:rPr>
                        <w:rFonts w:ascii="Cambria Math" w:hAnsi="Cambria Math"/>
                        <w:sz w:val="28"/>
                      </w:rPr>
                      <m:t>*</m:t>
                    </m:r>
                  </m:sup>
                </m:sSubSup>
              </m:den>
            </m:f>
          </m:sup>
        </m:sSup>
      </m:oMath>
      <w:r>
        <w:rPr>
          <w:rFonts w:eastAsiaTheme="minorEastAsia"/>
          <w:sz w:val="28"/>
        </w:rPr>
        <w:t xml:space="preserve"> </w:t>
      </w:r>
      <w:r>
        <w:rPr>
          <w:rFonts w:eastAsiaTheme="minorEastAsia"/>
          <w:sz w:val="28"/>
        </w:rPr>
        <w:tab/>
      </w:r>
      <w:r w:rsidRPr="00EB0429">
        <w:rPr>
          <w:rFonts w:eastAsiaTheme="minorEastAsia"/>
          <w:szCs w:val="22"/>
        </w:rPr>
        <w:t>(1.2)</w:t>
      </w:r>
    </w:p>
    <w:p w14:paraId="7F559551" w14:textId="77777777" w:rsidR="00392541" w:rsidRDefault="00392541" w:rsidP="00392541">
      <w:pPr>
        <w:pStyle w:val="BodyText"/>
      </w:pPr>
    </w:p>
    <w:p w14:paraId="6C78D5AE" w14:textId="597BE4F0" w:rsidR="00D62D39" w:rsidRDefault="00392541" w:rsidP="00392541">
      <w:pPr>
        <w:pStyle w:val="BodyText"/>
      </w:pPr>
      <w:r w:rsidRPr="00420E0F">
        <w:t xml:space="preserve">In Equation </w:t>
      </w:r>
      <w:r>
        <w:t>1.2</w:t>
      </w:r>
      <w:r w:rsidRPr="00420E0F">
        <w:t xml:space="preserve">, </w:t>
      </w:r>
      <m:oMath>
        <m:sSubSup>
          <m:sSubSupPr>
            <m:ctrlPr>
              <w:rPr>
                <w:rFonts w:ascii="Cambria Math" w:hAnsi="Cambria Math"/>
              </w:rPr>
            </m:ctrlPr>
          </m:sSubSupPr>
          <m:e>
            <m:r>
              <m:rPr>
                <m:sty m:val="p"/>
              </m:rPr>
              <w:rPr>
                <w:rFonts w:ascii="Cambria Math" w:hAnsi="Cambria Math"/>
              </w:rPr>
              <m:t>s</m:t>
            </m:r>
          </m:e>
          <m:sub>
            <m:r>
              <w:rPr>
                <w:rFonts w:ascii="Cambria Math" w:hAnsi="Cambria Math"/>
              </w:rPr>
              <m:t>m</m:t>
            </m:r>
            <m:ctrlPr>
              <w:rPr>
                <w:rFonts w:ascii="Cambria Math" w:hAnsi="Cambria Math"/>
                <w:i/>
              </w:rPr>
            </m:ctrlPr>
          </m:sub>
          <m:sup>
            <m:r>
              <m:rPr>
                <m:sty m:val="p"/>
              </m:rPr>
              <w:rPr>
                <w:rFonts w:ascii="Cambria Math" w:hAnsi="Cambria Math"/>
              </w:rPr>
              <m:t>*</m:t>
            </m:r>
          </m:sup>
        </m:sSubSup>
      </m:oMath>
      <w:r w:rsidRPr="00420E0F">
        <w:t xml:space="preserve"> and </w:t>
      </w:r>
      <m:oMath>
        <m:sSubSup>
          <m:sSubSupPr>
            <m:ctrlPr>
              <w:rPr>
                <w:rFonts w:ascii="Cambria Math" w:hAnsi="Cambria Math"/>
              </w:rPr>
            </m:ctrlPr>
          </m:sSubSupPr>
          <m:e>
            <m:r>
              <m:rPr>
                <m:sty m:val="p"/>
              </m:rPr>
              <w:rPr>
                <w:rFonts w:ascii="Cambria Math" w:hAnsi="Cambria Math"/>
              </w:rPr>
              <m:t>s</m:t>
            </m:r>
          </m:e>
          <m:sub>
            <m:r>
              <w:rPr>
                <w:rFonts w:ascii="Cambria Math" w:hAnsi="Cambria Math"/>
              </w:rPr>
              <m:t>r</m:t>
            </m:r>
            <m:ctrlPr>
              <w:rPr>
                <w:rFonts w:ascii="Cambria Math" w:hAnsi="Cambria Math"/>
                <w:i/>
              </w:rPr>
            </m:ctrlPr>
          </m:sub>
          <m:sup>
            <m:r>
              <m:rPr>
                <m:sty m:val="p"/>
              </m:rPr>
              <w:rPr>
                <w:rFonts w:ascii="Cambria Math" w:hAnsi="Cambria Math"/>
              </w:rPr>
              <m:t>*</m:t>
            </m:r>
          </m:sup>
        </m:sSubSup>
      </m:oMath>
      <w:r w:rsidRPr="00420E0F">
        <w:t xml:space="preserve"> are the </w:t>
      </w:r>
      <w:r>
        <w:t>resolution</w:t>
      </w:r>
      <w:r w:rsidR="002F400B">
        <w:t>-</w:t>
      </w:r>
      <w:r>
        <w:t>modified standard deviations of the model and referent, respectively.</w:t>
      </w:r>
      <w:r w:rsidR="00D62D39">
        <w:t xml:space="preserve"> The calculation for these modified standard deviations can be seen in Equation 1.3, where </w:t>
      </w:r>
      <m:oMath>
        <m:r>
          <w:rPr>
            <w:rFonts w:ascii="Cambria Math" w:eastAsiaTheme="minorEastAsia" w:hAnsi="Cambria Math"/>
            <w:color w:val="auto"/>
          </w:rPr>
          <m:t>s</m:t>
        </m:r>
      </m:oMath>
      <w:r w:rsidR="00D62D39">
        <w:t xml:space="preserve"> represents the standard deviation of the referent or model, and </w:t>
      </w:r>
      <m:oMath>
        <m:r>
          <m:rPr>
            <m:sty m:val="p"/>
          </m:rPr>
          <w:rPr>
            <w:rFonts w:ascii="Cambria Math" w:eastAsiaTheme="minorEastAsia" w:hAnsi="Cambria Math"/>
            <w:color w:val="auto"/>
          </w:rPr>
          <m:t>δ</m:t>
        </m:r>
      </m:oMath>
      <w:r w:rsidR="00B329EB">
        <w:t xml:space="preserve"> </w:t>
      </w:r>
      <w:r w:rsidR="00D62D39">
        <w:t xml:space="preserve">represents the resolution. Resolution is </w:t>
      </w:r>
      <w:r w:rsidR="00732A45">
        <w:t xml:space="preserve">the degree of granularity with which a variable can be </w:t>
      </w:r>
      <w:r w:rsidR="002F400B">
        <w:t>determined and</w:t>
      </w:r>
      <w:r w:rsidR="00732A45">
        <w:t xml:space="preserve"> </w:t>
      </w:r>
      <w:r w:rsidR="00677023">
        <w:t>is present due to</w:t>
      </w:r>
      <w:r w:rsidR="00732A45">
        <w:t xml:space="preserve"> any number of issues that would obfuscate our knowledge, such as simplifying assumptions in physics estimates, measurement error, or even rounding error.</w:t>
      </w:r>
    </w:p>
    <w:p w14:paraId="22EF5843" w14:textId="47EB7142" w:rsidR="00D62D39" w:rsidRPr="00EB0429" w:rsidRDefault="00DF4283" w:rsidP="00EB0429">
      <w:pPr>
        <w:pStyle w:val="BodyText"/>
        <w:widowControl/>
        <w:tabs>
          <w:tab w:val="center" w:pos="4680"/>
          <w:tab w:val="right" w:pos="9360"/>
        </w:tabs>
        <w:autoSpaceDE/>
        <w:autoSpaceDN/>
        <w:contextualSpacing/>
        <w:rPr>
          <w:rFonts w:eastAsiaTheme="minorEastAsia"/>
          <w:color w:val="auto"/>
        </w:rPr>
      </w:pPr>
      <w:r>
        <w:rPr>
          <w:rFonts w:eastAsiaTheme="minorEastAsia"/>
          <w:color w:val="auto"/>
        </w:rPr>
        <w:lastRenderedPageBreak/>
        <w:tab/>
      </w:r>
      <m:oMath>
        <m:sSup>
          <m:sSupPr>
            <m:ctrlPr>
              <w:rPr>
                <w:rFonts w:ascii="Cambria Math" w:eastAsiaTheme="minorEastAsia" w:hAnsi="Cambria Math"/>
                <w:color w:val="auto"/>
              </w:rPr>
            </m:ctrlPr>
          </m:sSupPr>
          <m:e>
            <m:r>
              <w:rPr>
                <w:rFonts w:ascii="Cambria Math" w:eastAsiaTheme="minorEastAsia" w:hAnsi="Cambria Math"/>
                <w:color w:val="auto"/>
              </w:rPr>
              <m:t>s</m:t>
            </m:r>
          </m:e>
          <m:sup>
            <m:r>
              <m:rPr>
                <m:sty m:val="p"/>
              </m:rPr>
              <w:rPr>
                <w:rFonts w:ascii="Cambria Math" w:eastAsiaTheme="minorEastAsia" w:hAnsi="Cambria Math"/>
                <w:color w:val="auto"/>
              </w:rPr>
              <m:t>*</m:t>
            </m:r>
          </m:sup>
        </m:sSup>
        <m:r>
          <m:rPr>
            <m:sty m:val="p"/>
          </m:rPr>
          <w:rPr>
            <w:rFonts w:ascii="Cambria Math" w:eastAsiaTheme="minorEastAsia" w:hAnsi="Cambria Math"/>
            <w:color w:val="auto"/>
          </w:rPr>
          <m:t>=</m:t>
        </m:r>
        <m:rad>
          <m:radPr>
            <m:degHide m:val="1"/>
            <m:ctrlPr>
              <w:rPr>
                <w:rFonts w:ascii="Cambria Math" w:eastAsiaTheme="minorEastAsia" w:hAnsi="Cambria Math"/>
                <w:color w:val="auto"/>
              </w:rPr>
            </m:ctrlPr>
          </m:radPr>
          <m:deg/>
          <m:e>
            <m:sSup>
              <m:sSupPr>
                <m:ctrlPr>
                  <w:rPr>
                    <w:rFonts w:ascii="Cambria Math" w:eastAsiaTheme="minorEastAsia" w:hAnsi="Cambria Math"/>
                    <w:color w:val="auto"/>
                  </w:rPr>
                </m:ctrlPr>
              </m:sSupPr>
              <m:e>
                <m:r>
                  <w:rPr>
                    <w:rFonts w:ascii="Cambria Math" w:eastAsiaTheme="minorEastAsia" w:hAnsi="Cambria Math"/>
                    <w:color w:val="auto"/>
                  </w:rPr>
                  <m:t>s</m:t>
                </m:r>
              </m:e>
              <m:sup>
                <m:r>
                  <m:rPr>
                    <m:sty m:val="p"/>
                  </m:rPr>
                  <w:rPr>
                    <w:rFonts w:ascii="Cambria Math" w:eastAsiaTheme="minorEastAsia" w:hAnsi="Cambria Math"/>
                    <w:color w:val="auto"/>
                  </w:rPr>
                  <m:t>2</m:t>
                </m:r>
              </m:sup>
            </m:sSup>
            <m:r>
              <m:rPr>
                <m:sty m:val="p"/>
              </m:rPr>
              <w:rPr>
                <w:rFonts w:ascii="Cambria Math" w:eastAsiaTheme="minorEastAsia" w:hAnsi="Cambria Math"/>
                <w:color w:val="auto"/>
              </w:rPr>
              <m:t>+</m:t>
            </m:r>
            <m:f>
              <m:fPr>
                <m:ctrlPr>
                  <w:rPr>
                    <w:rFonts w:ascii="Cambria Math" w:eastAsiaTheme="minorEastAsia" w:hAnsi="Cambria Math"/>
                    <w:color w:val="auto"/>
                  </w:rPr>
                </m:ctrlPr>
              </m:fPr>
              <m:num>
                <m:sSup>
                  <m:sSupPr>
                    <m:ctrlPr>
                      <w:rPr>
                        <w:rFonts w:ascii="Cambria Math" w:eastAsiaTheme="minorEastAsia" w:hAnsi="Cambria Math"/>
                        <w:color w:val="auto"/>
                      </w:rPr>
                    </m:ctrlPr>
                  </m:sSupPr>
                  <m:e>
                    <m:r>
                      <m:rPr>
                        <m:sty m:val="p"/>
                      </m:rPr>
                      <w:rPr>
                        <w:rFonts w:ascii="Cambria Math" w:eastAsiaTheme="minorEastAsia" w:hAnsi="Cambria Math"/>
                        <w:color w:val="auto"/>
                      </w:rPr>
                      <m:t>δ</m:t>
                    </m:r>
                  </m:e>
                  <m:sup>
                    <m:r>
                      <m:rPr>
                        <m:sty m:val="p"/>
                      </m:rPr>
                      <w:rPr>
                        <w:rFonts w:ascii="Cambria Math" w:eastAsiaTheme="minorEastAsia" w:hAnsi="Cambria Math"/>
                        <w:color w:val="auto"/>
                      </w:rPr>
                      <m:t>2</m:t>
                    </m:r>
                  </m:sup>
                </m:sSup>
              </m:num>
              <m:den>
                <m:r>
                  <m:rPr>
                    <m:sty m:val="p"/>
                  </m:rPr>
                  <w:rPr>
                    <w:rFonts w:ascii="Cambria Math" w:eastAsiaTheme="minorEastAsia" w:hAnsi="Cambria Math"/>
                    <w:color w:val="auto"/>
                  </w:rPr>
                  <m:t>12</m:t>
                </m:r>
              </m:den>
            </m:f>
          </m:e>
        </m:rad>
      </m:oMath>
      <w:r>
        <w:rPr>
          <w:rFonts w:eastAsiaTheme="minorEastAsia"/>
          <w:color w:val="auto"/>
        </w:rPr>
        <w:tab/>
      </w:r>
      <w:r w:rsidR="00D62D39" w:rsidRPr="00EB0429">
        <w:rPr>
          <w:rFonts w:eastAsiaTheme="minorEastAsia"/>
          <w:color w:val="auto"/>
        </w:rPr>
        <w:t>(1.3)</w:t>
      </w:r>
    </w:p>
    <w:p w14:paraId="026C6916" w14:textId="77777777" w:rsidR="00392541" w:rsidRDefault="00392541" w:rsidP="00392541">
      <w:pPr>
        <w:pStyle w:val="BodyText"/>
        <w:contextualSpacing/>
      </w:pPr>
    </w:p>
    <w:p w14:paraId="2F9DA9A6" w14:textId="77777777" w:rsidR="00DF4283" w:rsidRDefault="00392541" w:rsidP="00392541">
      <w:pPr>
        <w:pStyle w:val="BodyText"/>
        <w:contextualSpacing/>
      </w:pPr>
      <w:r>
        <w:t>The</w:t>
      </w:r>
      <w:r w:rsidRPr="00C222F0">
        <w:t xml:space="preserve"> overall metric for fidelity</w:t>
      </w:r>
      <w:r>
        <w:t xml:space="preserve"> is given</w:t>
      </w:r>
      <w:r w:rsidRPr="00C222F0">
        <w:t xml:space="preserve"> in Equation </w:t>
      </w:r>
      <w:r w:rsidR="004E1B00">
        <w:t>1.4</w:t>
      </w:r>
      <w:r w:rsidRPr="00C222F0">
        <w:t xml:space="preserve">, where the accuracy and variability </w:t>
      </w:r>
      <w:r w:rsidR="004F1E52">
        <w:t>sub-</w:t>
      </w:r>
      <w:r w:rsidRPr="00C222F0">
        <w:t>metrics are multiplied together to form a single metric for assessing the level of consistency between the model and the referent.</w:t>
      </w:r>
    </w:p>
    <w:p w14:paraId="5659905B" w14:textId="77777777" w:rsidR="00DF4283" w:rsidRDefault="00DF4283" w:rsidP="00392541">
      <w:pPr>
        <w:pStyle w:val="BodyText"/>
        <w:contextualSpacing/>
      </w:pPr>
    </w:p>
    <w:p w14:paraId="14BCE02E" w14:textId="2E64D0F6" w:rsidR="00392541" w:rsidRPr="00F57773" w:rsidRDefault="00DF4283" w:rsidP="00EB0429">
      <w:pPr>
        <w:pStyle w:val="BodyText"/>
        <w:tabs>
          <w:tab w:val="center" w:pos="4680"/>
          <w:tab w:val="right" w:pos="9360"/>
        </w:tabs>
        <w:contextualSpacing/>
        <w:rPr>
          <w:rFonts w:eastAsiaTheme="minorEastAsia"/>
          <w:iCs/>
        </w:rPr>
      </w:pPr>
      <w:r>
        <w:rPr>
          <w:rFonts w:eastAsiaTheme="minorEastAsia"/>
          <w:sz w:val="28"/>
          <w:szCs w:val="28"/>
        </w:rPr>
        <w:tab/>
      </w:r>
      <m:oMath>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a</m:t>
            </m:r>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v</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m</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r</m:t>
                            </m:r>
                          </m:sub>
                        </m:sSub>
                      </m:num>
                      <m:den>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r</m:t>
                            </m:r>
                          </m:sub>
                          <m:sup>
                            <m:r>
                              <w:rPr>
                                <w:rFonts w:ascii="Cambria Math" w:hAnsi="Cambria Math"/>
                                <w:sz w:val="28"/>
                                <w:szCs w:val="28"/>
                              </w:rPr>
                              <m:t>*</m:t>
                            </m:r>
                          </m:sup>
                        </m:sSubSup>
                      </m:den>
                    </m:f>
                  </m:e>
                </m:d>
              </m:e>
              <m:sup>
                <m:r>
                  <w:rPr>
                    <w:rFonts w:ascii="Cambria Math" w:hAnsi="Cambria Math"/>
                    <w:sz w:val="28"/>
                    <w:szCs w:val="28"/>
                  </w:rPr>
                  <m:t>2</m:t>
                </m:r>
              </m:sup>
            </m:sSup>
          </m:sup>
        </m:sSup>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m</m:t>
                        </m:r>
                      </m:sub>
                      <m:sup>
                        <m:r>
                          <w:rPr>
                            <w:rFonts w:ascii="Cambria Math" w:hAnsi="Cambria Math"/>
                            <w:sz w:val="28"/>
                            <w:szCs w:val="28"/>
                          </w:rPr>
                          <m:t>*</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r</m:t>
                        </m:r>
                      </m:sub>
                      <m:sup>
                        <m:r>
                          <w:rPr>
                            <w:rFonts w:ascii="Cambria Math" w:hAnsi="Cambria Math"/>
                            <w:sz w:val="28"/>
                            <w:szCs w:val="28"/>
                          </w:rPr>
                          <m:t>*</m:t>
                        </m:r>
                      </m:sup>
                    </m:sSubSup>
                    <m:r>
                      <w:rPr>
                        <w:rFonts w:ascii="Cambria Math" w:hAnsi="Cambria Math"/>
                        <w:sz w:val="28"/>
                        <w:szCs w:val="28"/>
                      </w:rPr>
                      <m:t>)</m:t>
                    </m:r>
                  </m:e>
                  <m:sup>
                    <m:r>
                      <w:rPr>
                        <w:rFonts w:ascii="Cambria Math" w:hAnsi="Cambria Math"/>
                        <w:sz w:val="28"/>
                        <w:szCs w:val="28"/>
                      </w:rPr>
                      <m:t>2</m:t>
                    </m:r>
                  </m:sup>
                </m:sSup>
              </m:num>
              <m:den>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m</m:t>
                    </m:r>
                  </m:sub>
                  <m:sup>
                    <m:r>
                      <w:rPr>
                        <w:rFonts w:ascii="Cambria Math" w:hAnsi="Cambria Math"/>
                        <w:sz w:val="28"/>
                        <w:szCs w:val="28"/>
                      </w:rPr>
                      <m:t>*</m:t>
                    </m:r>
                  </m:sup>
                </m:sSubSup>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r</m:t>
                    </m:r>
                  </m:sub>
                  <m:sup>
                    <m:r>
                      <w:rPr>
                        <w:rFonts w:ascii="Cambria Math" w:hAnsi="Cambria Math"/>
                        <w:sz w:val="28"/>
                        <w:szCs w:val="28"/>
                      </w:rPr>
                      <m:t>*</m:t>
                    </m:r>
                  </m:sup>
                </m:sSubSup>
              </m:den>
            </m:f>
          </m:sup>
        </m:sSup>
      </m:oMath>
      <w:r>
        <w:rPr>
          <w:rFonts w:eastAsiaTheme="minorEastAsia"/>
          <w:sz w:val="28"/>
          <w:szCs w:val="28"/>
        </w:rPr>
        <w:tab/>
      </w:r>
      <w:r w:rsidRPr="00EB0429">
        <w:rPr>
          <w:rFonts w:eastAsiaTheme="minorEastAsia"/>
          <w:szCs w:val="22"/>
        </w:rPr>
        <w:t>(1.4)</w:t>
      </w:r>
    </w:p>
    <w:p w14:paraId="5B1AF954" w14:textId="77777777" w:rsidR="00392541" w:rsidRPr="00C222F0" w:rsidRDefault="00392541" w:rsidP="00392541">
      <w:pPr>
        <w:pStyle w:val="BodyText"/>
        <w:contextualSpacing/>
      </w:pPr>
    </w:p>
    <w:p w14:paraId="34DBFEE9" w14:textId="014D2A63" w:rsidR="00392541" w:rsidRDefault="00392541" w:rsidP="00392541">
      <w:pPr>
        <w:pStyle w:val="BodyText"/>
        <w:contextualSpacing/>
      </w:pPr>
      <w:r w:rsidRPr="00C222F0">
        <w:t>Th</w:t>
      </w:r>
      <w:r>
        <w:t>e</w:t>
      </w:r>
      <w:r w:rsidRPr="00C222F0">
        <w:t xml:space="preserve"> multiplicative combination </w:t>
      </w:r>
      <w:r>
        <w:t>of metrics means</w:t>
      </w:r>
      <w:r w:rsidRPr="00C222F0">
        <w:t xml:space="preserve"> that the overall fidelity metric may only be as high as the fidelity of either of its components. </w:t>
      </w:r>
      <w:r w:rsidR="004E1B00">
        <w:t xml:space="preserve">That is, the overall fidelity metric is strictly less than or equal to its accuracy and variability components. </w:t>
      </w:r>
      <w:r w:rsidRPr="00C222F0">
        <w:t xml:space="preserve">If </w:t>
      </w:r>
      <w:r w:rsidR="004E1B00">
        <w:t xml:space="preserve">either </w:t>
      </w:r>
      <w:r w:rsidRPr="00C222F0">
        <w:t xml:space="preserve">the accuracy </w:t>
      </w:r>
      <w:r w:rsidR="004E1B00">
        <w:t xml:space="preserve">or variability is low, </w:t>
      </w:r>
      <w:r w:rsidRPr="00C222F0">
        <w:t>the overall fidelity metric will be low</w:t>
      </w:r>
      <w:r w:rsidR="004E1B00">
        <w:t xml:space="preserve"> as well</w:t>
      </w:r>
      <w:r w:rsidRPr="00C222F0">
        <w:t xml:space="preserve">. </w:t>
      </w:r>
      <w:r w:rsidR="005B07CC">
        <w:t xml:space="preserve">This results in </w:t>
      </w:r>
      <w:r w:rsidR="00055E1B">
        <w:t>a</w:t>
      </w:r>
      <w:r w:rsidR="005B07CC">
        <w:t xml:space="preserve"> metric bounded from 0 to 1 where 1 implies perfect fidelity in terms of both accuracy and variability and scores close to 0 imply poor fidelity in at least one </w:t>
      </w:r>
      <w:r w:rsidR="004F1E52">
        <w:t>aspect</w:t>
      </w:r>
      <w:r w:rsidRPr="00C222F0">
        <w:t>.</w:t>
      </w:r>
    </w:p>
    <w:p w14:paraId="76CEF0A1" w14:textId="77777777" w:rsidR="00392541" w:rsidRDefault="00392541" w:rsidP="00392541">
      <w:pPr>
        <w:pStyle w:val="BodyText"/>
        <w:contextualSpacing/>
      </w:pPr>
    </w:p>
    <w:p w14:paraId="7BF25555" w14:textId="7C287134" w:rsidR="00392541" w:rsidRDefault="00392541" w:rsidP="00392541">
      <w:pPr>
        <w:pStyle w:val="BodyText"/>
        <w:contextualSpacing/>
      </w:pPr>
      <w:r>
        <w:t xml:space="preserve">This </w:t>
      </w:r>
      <w:r w:rsidR="00601AF7">
        <w:t xml:space="preserve">fidelity </w:t>
      </w:r>
      <w:r>
        <w:t xml:space="preserve">metric only compares a model to a single referent at a single point in the </w:t>
      </w:r>
      <w:r w:rsidR="00B834A8">
        <w:t>mission space</w:t>
      </w:r>
      <w:r>
        <w:t xml:space="preserve"> or scope. As we discuss the remaining pillars of validation, we will </w:t>
      </w:r>
      <w:r w:rsidR="004F1E52">
        <w:t xml:space="preserve">further detail </w:t>
      </w:r>
      <w:r>
        <w:t>how to extend this measure to examine a model against multiple referents of varying authority as well as how to apply this measure as we assess the entirety of the model scope.</w:t>
      </w:r>
    </w:p>
    <w:p w14:paraId="1AC0A008" w14:textId="77777777" w:rsidR="00392541" w:rsidRDefault="00392541" w:rsidP="00392541">
      <w:pPr>
        <w:pStyle w:val="BodyText"/>
        <w:contextualSpacing/>
      </w:pPr>
    </w:p>
    <w:p w14:paraId="6AC81A03" w14:textId="77777777" w:rsidR="00392541" w:rsidRPr="00EB0429" w:rsidRDefault="00392541" w:rsidP="00392541">
      <w:pPr>
        <w:pStyle w:val="APALevelHeading2"/>
        <w:contextualSpacing/>
        <w:rPr>
          <w:sz w:val="20"/>
        </w:rPr>
      </w:pPr>
      <w:bookmarkStart w:id="7" w:name="_Toc108514031"/>
      <w:bookmarkStart w:id="8" w:name="_Toc111627594"/>
      <w:r w:rsidRPr="00EB0429">
        <w:rPr>
          <w:rFonts w:cs="Arial"/>
          <w:szCs w:val="24"/>
        </w:rPr>
        <w:t>Referent Authority</w:t>
      </w:r>
      <w:bookmarkEnd w:id="7"/>
      <w:bookmarkEnd w:id="8"/>
    </w:p>
    <w:p w14:paraId="199ACD65" w14:textId="77777777" w:rsidR="00392541" w:rsidRDefault="00392541" w:rsidP="00392541">
      <w:pPr>
        <w:pStyle w:val="BodyText"/>
        <w:contextualSpacing/>
      </w:pPr>
    </w:p>
    <w:p w14:paraId="62C6492C" w14:textId="576584C7" w:rsidR="00392541" w:rsidRDefault="00392541" w:rsidP="00392541">
      <w:pPr>
        <w:pStyle w:val="BodyText"/>
        <w:contextualSpacing/>
      </w:pPr>
      <w:r>
        <w:t xml:space="preserve">Referent authority reflects the amount of trust that can be placed in a source of information, or referent, to reflect reality. Model validation aims to compare a model to the reality that the model is intended to reflect, but in practice, true reality is unknown and can only be </w:t>
      </w:r>
      <w:r w:rsidR="004F1E52">
        <w:t xml:space="preserve">approximately </w:t>
      </w:r>
      <w:r w:rsidR="007C584E">
        <w:t xml:space="preserve">measured. </w:t>
      </w:r>
      <w:r>
        <w:t xml:space="preserve">Assessing trust in our information sources is a critical step in validating a model. </w:t>
      </w:r>
    </w:p>
    <w:p w14:paraId="6BF200A3" w14:textId="77777777" w:rsidR="00392541" w:rsidRDefault="00392541" w:rsidP="00392541">
      <w:pPr>
        <w:pStyle w:val="BodyText"/>
        <w:contextualSpacing/>
      </w:pPr>
    </w:p>
    <w:p w14:paraId="3E0F5D62" w14:textId="2291C7C4" w:rsidR="00392541" w:rsidRDefault="00392541" w:rsidP="00392541">
      <w:pPr>
        <w:pStyle w:val="BodyText"/>
        <w:contextualSpacing/>
      </w:pPr>
      <w:r>
        <w:t xml:space="preserve">Unfortunately, there is no </w:t>
      </w:r>
      <w:r w:rsidR="004F1E52">
        <w:t xml:space="preserve">accepted </w:t>
      </w:r>
      <w:r>
        <w:t>standard for assessing the trustworthiness of a referent. Trust itself is not observable or otherwise directly measurable. However, r</w:t>
      </w:r>
      <w:r w:rsidRPr="008E4236">
        <w:t xml:space="preserve">eferent </w:t>
      </w:r>
      <w:r>
        <w:t>authority</w:t>
      </w:r>
      <w:r w:rsidRPr="008E4236">
        <w:t xml:space="preserve"> can be understood in terms of relative comparison. That is</w:t>
      </w:r>
      <w:r>
        <w:t>, by comparing different types of referents, we can understand which referents are more or less trustworthy relative to each other</w:t>
      </w:r>
      <w:r w:rsidRPr="008E4236">
        <w:t>.</w:t>
      </w:r>
      <w:r>
        <w:t xml:space="preserve"> For example, expert opinion and physics predictions are generally less trusted than observed </w:t>
      </w:r>
      <w:r w:rsidR="00055E1B">
        <w:t>data</w:t>
      </w:r>
      <w:r w:rsidR="00C10AA4">
        <w:t>,</w:t>
      </w:r>
      <w:r w:rsidR="00055E1B">
        <w:t xml:space="preserve"> and</w:t>
      </w:r>
      <w:r>
        <w:t xml:space="preserve"> observed data from a prototype is less trusted than observations of an operationally-ready system. </w:t>
      </w:r>
    </w:p>
    <w:p w14:paraId="6E7E4F4B" w14:textId="77777777" w:rsidR="00392541" w:rsidRDefault="00392541" w:rsidP="00392541">
      <w:pPr>
        <w:pStyle w:val="BodyText"/>
        <w:contextualSpacing/>
      </w:pPr>
    </w:p>
    <w:p w14:paraId="7EB4D027" w14:textId="4DA9823E" w:rsidR="00392541" w:rsidRDefault="00392541" w:rsidP="00392541">
      <w:pPr>
        <w:pStyle w:val="BodyText"/>
        <w:contextualSpacing/>
      </w:pPr>
      <w:r>
        <w:t xml:space="preserve">This understanding of trust informs the mathematical assessment of referent authority in validation. The first aspect we will discuss is a hierarchal weighting scheme allowing us to weight the fidelity </w:t>
      </w:r>
      <w:r w:rsidR="004F1E52">
        <w:t xml:space="preserve">assessment </w:t>
      </w:r>
      <w:r>
        <w:t>of a model according to the authority of the referents that the model is validated against. The second aspect we will discuss is a Bayesian method of pooling information from various referents to validate a model against the entire body of knowledge while still emphasizing the most trusted data sources.</w:t>
      </w:r>
    </w:p>
    <w:p w14:paraId="79A2552F" w14:textId="77777777" w:rsidR="00392541" w:rsidRDefault="00392541" w:rsidP="00392541">
      <w:pPr>
        <w:pStyle w:val="BodyText"/>
        <w:contextualSpacing/>
      </w:pPr>
    </w:p>
    <w:p w14:paraId="63AAF75D" w14:textId="5564BA7F" w:rsidR="00392541" w:rsidRDefault="00392541" w:rsidP="00392541">
      <w:pPr>
        <w:pStyle w:val="APALevelHeading3"/>
        <w:contextualSpacing/>
      </w:pPr>
      <w:bookmarkStart w:id="9" w:name="_Toc108514032"/>
      <w:bookmarkStart w:id="10" w:name="_Toc111627595"/>
      <w:r>
        <w:t>Referent Authority Hierarchal Weighting</w:t>
      </w:r>
      <w:bookmarkEnd w:id="9"/>
      <w:bookmarkEnd w:id="10"/>
    </w:p>
    <w:p w14:paraId="3429934F" w14:textId="4F702E8D" w:rsidR="00392541" w:rsidRDefault="00392541" w:rsidP="00392541">
      <w:pPr>
        <w:pStyle w:val="BodyText"/>
        <w:contextualSpacing/>
      </w:pPr>
      <w:r>
        <w:t>A referent authority hierarchy enables the weighting of fidelity by the amount of authority it inherits</w:t>
      </w:r>
      <w:r w:rsidR="001643A7" w:rsidRPr="001643A7">
        <w:t xml:space="preserve"> from the referents considered in the metric</w:t>
      </w:r>
      <w:r>
        <w:t xml:space="preserve">. A model that is highly consistent with a </w:t>
      </w:r>
      <w:r w:rsidR="001643A7">
        <w:t xml:space="preserve">less trusted </w:t>
      </w:r>
      <w:r>
        <w:t xml:space="preserve">referent should carry less authority than a model that is highly consistent with a </w:t>
      </w:r>
      <w:r w:rsidR="001643A7">
        <w:t xml:space="preserve">highly trusted </w:t>
      </w:r>
      <w:r>
        <w:t>referent. A weighting scale assigns a weight, or ceiling value, such that a model can have</w:t>
      </w:r>
      <w:r w:rsidR="00AE5AD9">
        <w:t>,</w:t>
      </w:r>
      <w:r>
        <w:t xml:space="preserve"> at most</w:t>
      </w:r>
      <w:r w:rsidR="00AE5AD9">
        <w:t>,</w:t>
      </w:r>
      <w:r>
        <w:t xml:space="preserve"> as much authority as the referent that it is measured against. A weighting scale </w:t>
      </w:r>
      <w:r>
        <w:lastRenderedPageBreak/>
        <w:t>should also be intuitive, with levels that represent apparent differences in authority. Finally, it should be consistently applied between different models to allow for authority comparison between models.</w:t>
      </w:r>
    </w:p>
    <w:p w14:paraId="3A0518E3" w14:textId="77777777" w:rsidR="00392541" w:rsidRDefault="00392541" w:rsidP="00392541">
      <w:pPr>
        <w:pStyle w:val="BodyText"/>
      </w:pPr>
    </w:p>
    <w:p w14:paraId="70989879" w14:textId="48ABAECB" w:rsidR="00392541" w:rsidRDefault="00392541" w:rsidP="00392541">
      <w:pPr>
        <w:pStyle w:val="BodyText"/>
      </w:pPr>
      <w:r>
        <w:t>To meet the</w:t>
      </w:r>
      <w:r w:rsidR="001643A7">
        <w:t>se</w:t>
      </w:r>
      <w:r>
        <w:t xml:space="preserve"> desired qualities, an authority weighting scale should be bounded between 0 and 1 such that a referent that best reflects reality confers an authority weight of 1 and a referent with no bearing in reality confers a weight of </w:t>
      </w:r>
      <w:r w:rsidR="000B18FC">
        <w:t>0</w:t>
      </w:r>
      <w:r>
        <w:t>. This combines multiplica</w:t>
      </w:r>
      <w:r w:rsidR="00D03472">
        <w:t>tively with the fidelity metric</w:t>
      </w:r>
      <w:r>
        <w:t xml:space="preserve"> to yield an authority-weighted fidelity </w:t>
      </w:r>
      <w:r w:rsidR="001643A7">
        <w:t xml:space="preserve">metric </w:t>
      </w:r>
      <w:r>
        <w:t>whose maximum value is determined by referent level</w:t>
      </w:r>
      <w:r w:rsidR="00F152BA">
        <w:t xml:space="preserve"> as seen in </w:t>
      </w:r>
      <w:r w:rsidR="00AE5AD9">
        <w:t>E</w:t>
      </w:r>
      <w:r w:rsidR="00F152BA">
        <w:t>quation 2.1</w:t>
      </w:r>
      <w:r>
        <w:t>.</w:t>
      </w:r>
      <w:r w:rsidR="00F152BA">
        <w:t xml:space="preserve"> Since each element of the equation is bounded between 0 and 1, we can state </w:t>
      </w:r>
      <w:r w:rsidR="007C584E">
        <w:t>that</w:t>
      </w:r>
      <m:oMath>
        <m: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≤w</m:t>
        </m:r>
      </m:oMath>
      <w:r w:rsidR="000F1FCD">
        <w:rPr>
          <w:rFonts w:eastAsiaTheme="minorEastAsia"/>
        </w:rPr>
        <w:t>, or the authority</w:t>
      </w:r>
      <w:r w:rsidR="00C10AA4">
        <w:rPr>
          <w:rFonts w:eastAsiaTheme="minorEastAsia"/>
        </w:rPr>
        <w:t>-</w:t>
      </w:r>
      <w:r w:rsidR="000F1FCD">
        <w:rPr>
          <w:rFonts w:eastAsiaTheme="minorEastAsia"/>
        </w:rPr>
        <w:t>weighted fidelity of the model</w:t>
      </w:r>
      <w:r w:rsidR="007C584E">
        <w:rPr>
          <w:rFonts w:eastAsiaTheme="minorEastAsia"/>
        </w:rPr>
        <w:t>,</w:t>
      </w:r>
      <w:r w:rsidR="000F1FCD">
        <w:rPr>
          <w:rFonts w:eastAsiaTheme="minorEastAsia"/>
        </w:rPr>
        <w:t xml:space="preserve"> is no greater than the authority of the referent it is measured against.</w:t>
      </w:r>
    </w:p>
    <w:p w14:paraId="683DC082" w14:textId="70A11F1D" w:rsidR="00624C82" w:rsidRDefault="00624C82" w:rsidP="00392541">
      <w:pPr>
        <w:pStyle w:val="BodyText"/>
      </w:pPr>
    </w:p>
    <w:p w14:paraId="7033979D" w14:textId="0BCAE56E" w:rsidR="00624C82" w:rsidRPr="000B18FC" w:rsidRDefault="00DF4283" w:rsidP="00EB0429">
      <w:pPr>
        <w:pStyle w:val="BodyText"/>
        <w:tabs>
          <w:tab w:val="center" w:pos="4680"/>
          <w:tab w:val="right" w:pos="9360"/>
        </w:tabs>
      </w:pPr>
      <w:r>
        <w:rPr>
          <w:rFonts w:eastAsiaTheme="minorEastAsia"/>
          <w:sz w:val="28"/>
          <w:szCs w:val="28"/>
        </w:rPr>
        <w:tab/>
      </w:r>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r>
          <w:rPr>
            <w:rFonts w:ascii="Cambria Math" w:hAnsi="Cambria Math"/>
            <w:sz w:val="28"/>
            <w:szCs w:val="28"/>
          </w:rPr>
          <m:t>=</m:t>
        </m:r>
        <m:r>
          <m:rPr>
            <m:sty m:val="p"/>
          </m:rPr>
          <w:rPr>
            <w:rFonts w:ascii="Cambria Math" w:hAnsi="Cambria Math"/>
            <w:sz w:val="28"/>
            <w:szCs w:val="28"/>
          </w:rPr>
          <m:t>w</m:t>
        </m:r>
        <m:sSub>
          <m:sSubPr>
            <m:ctrlPr>
              <w:rPr>
                <w:rFonts w:ascii="Cambria Math" w:hAnsi="Cambria Math"/>
                <w:i/>
                <w:iCs/>
                <w:sz w:val="28"/>
                <w:szCs w:val="28"/>
              </w:rPr>
            </m:ctrlPr>
          </m:sSubPr>
          <m:e>
            <m:r>
              <w:rPr>
                <w:rFonts w:ascii="Cambria Math" w:hAnsi="Cambria Math"/>
                <w:sz w:val="28"/>
                <w:szCs w:val="28"/>
              </w:rPr>
              <m:t>f</m:t>
            </m:r>
            <m:ctrlPr>
              <w:rPr>
                <w:rFonts w:ascii="Cambria Math" w:hAnsi="Cambria Math"/>
                <w:i/>
                <w:sz w:val="28"/>
                <w:szCs w:val="28"/>
              </w:rPr>
            </m:ctrlPr>
          </m:e>
          <m:sub>
            <m:r>
              <w:rPr>
                <w:rFonts w:ascii="Cambria Math" w:hAnsi="Cambria Math"/>
                <w:sz w:val="28"/>
                <w:szCs w:val="28"/>
              </w:rPr>
              <m:t>a</m:t>
            </m:r>
          </m:sub>
        </m:sSub>
        <m:sSub>
          <m:sSubPr>
            <m:ctrlPr>
              <w:rPr>
                <w:rFonts w:ascii="Cambria Math" w:hAnsi="Cambria Math"/>
                <w:i/>
                <w:iCs/>
                <w:sz w:val="28"/>
                <w:szCs w:val="28"/>
              </w:rPr>
            </m:ctrlPr>
          </m:sSubPr>
          <m:e>
            <m:r>
              <w:rPr>
                <w:rFonts w:ascii="Cambria Math" w:hAnsi="Cambria Math"/>
                <w:sz w:val="28"/>
                <w:szCs w:val="28"/>
              </w:rPr>
              <m:t>f</m:t>
            </m:r>
          </m:e>
          <m:sub>
            <m:r>
              <w:rPr>
                <w:rFonts w:ascii="Cambria Math" w:hAnsi="Cambria Math"/>
                <w:sz w:val="28"/>
                <w:szCs w:val="28"/>
              </w:rPr>
              <m:t>v</m:t>
            </m:r>
          </m:sub>
        </m:sSub>
        <m:r>
          <m:rPr>
            <m:sty m:val="p"/>
          </m:rPr>
          <w:rPr>
            <w:rFonts w:ascii="Cambria Math" w:hAnsi="Cambria Math"/>
            <w:sz w:val="28"/>
            <w:szCs w:val="28"/>
          </w:rPr>
          <m:t>=</m:t>
        </m:r>
        <m:r>
          <w:rPr>
            <w:rFonts w:ascii="Cambria Math" w:hAnsi="Cambria Math"/>
            <w:sz w:val="28"/>
            <w:szCs w:val="28"/>
          </w:rPr>
          <m:t>w</m:t>
        </m:r>
        <m:r>
          <m:rPr>
            <m:sty m:val="p"/>
          </m:rPr>
          <w:rPr>
            <w:rFonts w:ascii="Cambria Math" w:hAnsi="Cambria Math"/>
            <w:sz w:val="28"/>
            <w:szCs w:val="28"/>
          </w:rPr>
          <m:t>*</m:t>
        </m:r>
        <m:sSup>
          <m:sSupPr>
            <m:ctrlPr>
              <w:rPr>
                <w:rFonts w:ascii="Cambria Math" w:hAnsi="Cambria Math"/>
                <w:sz w:val="28"/>
                <w:szCs w:val="44"/>
              </w:rPr>
            </m:ctrlPr>
          </m:sSupPr>
          <m:e>
            <m:r>
              <w:rPr>
                <w:rFonts w:ascii="Cambria Math" w:hAnsi="Cambria Math"/>
                <w:sz w:val="28"/>
                <w:szCs w:val="44"/>
              </w:rPr>
              <m:t>e</m:t>
            </m:r>
          </m:e>
          <m:sup>
            <m:r>
              <m:rPr>
                <m:sty m:val="p"/>
              </m:rPr>
              <w:rPr>
                <w:rFonts w:ascii="Cambria Math" w:hAnsi="Cambria Math"/>
                <w:sz w:val="28"/>
                <w:szCs w:val="44"/>
              </w:rPr>
              <m:t>-</m:t>
            </m:r>
            <m:f>
              <m:fPr>
                <m:ctrlPr>
                  <w:rPr>
                    <w:rFonts w:ascii="Cambria Math" w:hAnsi="Cambria Math"/>
                    <w:i/>
                    <w:iCs/>
                    <w:sz w:val="28"/>
                    <w:szCs w:val="44"/>
                  </w:rPr>
                </m:ctrlPr>
              </m:fPr>
              <m:num>
                <m:r>
                  <w:rPr>
                    <w:rFonts w:ascii="Cambria Math" w:hAnsi="Cambria Math"/>
                    <w:sz w:val="28"/>
                    <w:szCs w:val="44"/>
                  </w:rPr>
                  <m:t>1</m:t>
                </m:r>
              </m:num>
              <m:den>
                <m:r>
                  <w:rPr>
                    <w:rFonts w:ascii="Cambria Math" w:hAnsi="Cambria Math"/>
                    <w:sz w:val="28"/>
                    <w:szCs w:val="44"/>
                  </w:rPr>
                  <m:t>2</m:t>
                </m:r>
              </m:den>
            </m:f>
            <m:sSup>
              <m:sSupPr>
                <m:ctrlPr>
                  <w:rPr>
                    <w:rFonts w:ascii="Cambria Math" w:hAnsi="Cambria Math"/>
                    <w:i/>
                    <w:iCs/>
                    <w:sz w:val="28"/>
                    <w:szCs w:val="44"/>
                  </w:rPr>
                </m:ctrlPr>
              </m:sSupPr>
              <m:e>
                <m:d>
                  <m:dPr>
                    <m:ctrlPr>
                      <w:rPr>
                        <w:rFonts w:ascii="Cambria Math" w:hAnsi="Cambria Math"/>
                        <w:i/>
                        <w:iCs/>
                        <w:sz w:val="28"/>
                        <w:szCs w:val="44"/>
                      </w:rPr>
                    </m:ctrlPr>
                  </m:dPr>
                  <m:e>
                    <m:f>
                      <m:fPr>
                        <m:ctrlPr>
                          <w:rPr>
                            <w:rFonts w:ascii="Cambria Math" w:hAnsi="Cambria Math"/>
                            <w:i/>
                            <w:iCs/>
                            <w:sz w:val="28"/>
                            <w:szCs w:val="44"/>
                          </w:rPr>
                        </m:ctrlPr>
                      </m:fPr>
                      <m:num>
                        <m:sSub>
                          <m:sSubPr>
                            <m:ctrlPr>
                              <w:rPr>
                                <w:rFonts w:ascii="Cambria Math" w:hAnsi="Cambria Math"/>
                                <w:i/>
                                <w:iCs/>
                                <w:sz w:val="28"/>
                                <w:szCs w:val="44"/>
                              </w:rPr>
                            </m:ctrlPr>
                          </m:sSubPr>
                          <m:e>
                            <m:acc>
                              <m:accPr>
                                <m:chr m:val="̅"/>
                                <m:ctrlPr>
                                  <w:rPr>
                                    <w:rFonts w:ascii="Cambria Math" w:hAnsi="Cambria Math"/>
                                    <w:i/>
                                    <w:iCs/>
                                    <w:sz w:val="28"/>
                                    <w:szCs w:val="44"/>
                                  </w:rPr>
                                </m:ctrlPr>
                              </m:accPr>
                              <m:e>
                                <m:r>
                                  <w:rPr>
                                    <w:rFonts w:ascii="Cambria Math" w:hAnsi="Cambria Math"/>
                                    <w:sz w:val="28"/>
                                    <w:szCs w:val="44"/>
                                  </w:rPr>
                                  <m:t>x</m:t>
                                </m:r>
                              </m:e>
                            </m:acc>
                          </m:e>
                          <m:sub>
                            <m:r>
                              <w:rPr>
                                <w:rFonts w:ascii="Cambria Math" w:hAnsi="Cambria Math"/>
                                <w:sz w:val="28"/>
                                <w:szCs w:val="44"/>
                              </w:rPr>
                              <m:t>m</m:t>
                            </m:r>
                          </m:sub>
                        </m:sSub>
                        <m:r>
                          <w:rPr>
                            <w:rFonts w:ascii="Cambria Math" w:hAnsi="Cambria Math"/>
                            <w:sz w:val="28"/>
                            <w:szCs w:val="44"/>
                          </w:rPr>
                          <m:t>-</m:t>
                        </m:r>
                        <m:sSub>
                          <m:sSubPr>
                            <m:ctrlPr>
                              <w:rPr>
                                <w:rFonts w:ascii="Cambria Math" w:hAnsi="Cambria Math"/>
                                <w:i/>
                                <w:iCs/>
                                <w:sz w:val="28"/>
                                <w:szCs w:val="44"/>
                              </w:rPr>
                            </m:ctrlPr>
                          </m:sSubPr>
                          <m:e>
                            <m:acc>
                              <m:accPr>
                                <m:chr m:val="̅"/>
                                <m:ctrlPr>
                                  <w:rPr>
                                    <w:rFonts w:ascii="Cambria Math" w:hAnsi="Cambria Math"/>
                                    <w:i/>
                                    <w:iCs/>
                                    <w:sz w:val="28"/>
                                    <w:szCs w:val="44"/>
                                  </w:rPr>
                                </m:ctrlPr>
                              </m:accPr>
                              <m:e>
                                <m:r>
                                  <w:rPr>
                                    <w:rFonts w:ascii="Cambria Math" w:hAnsi="Cambria Math"/>
                                    <w:sz w:val="28"/>
                                    <w:szCs w:val="44"/>
                                  </w:rPr>
                                  <m:t>x</m:t>
                                </m:r>
                              </m:e>
                            </m:acc>
                          </m:e>
                          <m:sub>
                            <m:r>
                              <w:rPr>
                                <w:rFonts w:ascii="Cambria Math" w:hAnsi="Cambria Math"/>
                                <w:sz w:val="28"/>
                                <w:szCs w:val="44"/>
                              </w:rPr>
                              <m:t>r</m:t>
                            </m:r>
                          </m:sub>
                        </m:sSub>
                      </m:num>
                      <m:den>
                        <m:sSubSup>
                          <m:sSubSupPr>
                            <m:ctrlPr>
                              <w:rPr>
                                <w:rFonts w:ascii="Cambria Math" w:hAnsi="Cambria Math"/>
                                <w:i/>
                                <w:iCs/>
                                <w:sz w:val="28"/>
                                <w:szCs w:val="44"/>
                              </w:rPr>
                            </m:ctrlPr>
                          </m:sSubSupPr>
                          <m:e>
                            <m:r>
                              <w:rPr>
                                <w:rFonts w:ascii="Cambria Math" w:hAnsi="Cambria Math"/>
                                <w:sz w:val="28"/>
                                <w:szCs w:val="44"/>
                              </w:rPr>
                              <m:t>s</m:t>
                            </m:r>
                          </m:e>
                          <m:sub>
                            <m:r>
                              <w:rPr>
                                <w:rFonts w:ascii="Cambria Math" w:hAnsi="Cambria Math"/>
                                <w:sz w:val="28"/>
                                <w:szCs w:val="44"/>
                              </w:rPr>
                              <m:t>r</m:t>
                            </m:r>
                          </m:sub>
                          <m:sup>
                            <m:r>
                              <w:rPr>
                                <w:rFonts w:ascii="Cambria Math" w:hAnsi="Cambria Math"/>
                                <w:sz w:val="28"/>
                                <w:szCs w:val="44"/>
                              </w:rPr>
                              <m:t>*</m:t>
                            </m:r>
                          </m:sup>
                        </m:sSubSup>
                      </m:den>
                    </m:f>
                  </m:e>
                </m:d>
              </m:e>
              <m:sup>
                <m:r>
                  <w:rPr>
                    <w:rFonts w:ascii="Cambria Math" w:hAnsi="Cambria Math"/>
                    <w:sz w:val="28"/>
                    <w:szCs w:val="44"/>
                  </w:rPr>
                  <m:t>2</m:t>
                </m:r>
              </m:sup>
            </m:sSup>
          </m:sup>
        </m:sSup>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m:t>
            </m:r>
            <m:f>
              <m:fPr>
                <m:ctrlPr>
                  <w:rPr>
                    <w:rFonts w:ascii="Cambria Math" w:hAnsi="Cambria Math"/>
                    <w:i/>
                    <w:iCs/>
                    <w:sz w:val="28"/>
                    <w:szCs w:val="28"/>
                  </w:rPr>
                </m:ctrlPr>
              </m:fPr>
              <m:num>
                <m:sSup>
                  <m:sSupPr>
                    <m:ctrlPr>
                      <w:rPr>
                        <w:rFonts w:ascii="Cambria Math" w:hAnsi="Cambria Math"/>
                        <w:i/>
                        <w:iCs/>
                        <w:sz w:val="28"/>
                        <w:szCs w:val="28"/>
                      </w:rPr>
                    </m:ctrlPr>
                  </m:sSupPr>
                  <m:e>
                    <m:sSubSup>
                      <m:sSubSupPr>
                        <m:ctrlPr>
                          <w:rPr>
                            <w:rFonts w:ascii="Cambria Math" w:hAnsi="Cambria Math"/>
                            <w:i/>
                            <w:iCs/>
                            <w:sz w:val="28"/>
                            <w:szCs w:val="28"/>
                          </w:rPr>
                        </m:ctrlPr>
                      </m:sSubSupPr>
                      <m:e>
                        <m:r>
                          <w:rPr>
                            <w:rFonts w:ascii="Cambria Math" w:hAnsi="Cambria Math"/>
                            <w:sz w:val="28"/>
                            <w:szCs w:val="28"/>
                          </w:rPr>
                          <m:t>(s</m:t>
                        </m:r>
                      </m:e>
                      <m:sub>
                        <m:r>
                          <w:rPr>
                            <w:rFonts w:ascii="Cambria Math" w:hAnsi="Cambria Math"/>
                            <w:sz w:val="28"/>
                            <w:szCs w:val="28"/>
                          </w:rPr>
                          <m:t>m</m:t>
                        </m:r>
                      </m:sub>
                      <m:sup>
                        <m:r>
                          <w:rPr>
                            <w:rFonts w:ascii="Cambria Math" w:hAnsi="Cambria Math"/>
                            <w:sz w:val="28"/>
                            <w:szCs w:val="28"/>
                          </w:rPr>
                          <m:t>*</m:t>
                        </m:r>
                      </m:sup>
                    </m:sSubSup>
                    <m:r>
                      <w:rPr>
                        <w:rFonts w:ascii="Cambria Math" w:hAnsi="Cambria Math"/>
                        <w:sz w:val="28"/>
                        <w:szCs w:val="28"/>
                      </w:rPr>
                      <m:t>-</m:t>
                    </m:r>
                    <m:sSubSup>
                      <m:sSubSupPr>
                        <m:ctrlPr>
                          <w:rPr>
                            <w:rFonts w:ascii="Cambria Math" w:hAnsi="Cambria Math"/>
                            <w:i/>
                            <w:iCs/>
                            <w:sz w:val="28"/>
                            <w:szCs w:val="28"/>
                          </w:rPr>
                        </m:ctrlPr>
                      </m:sSubSupPr>
                      <m:e>
                        <m:r>
                          <w:rPr>
                            <w:rFonts w:ascii="Cambria Math" w:hAnsi="Cambria Math"/>
                            <w:sz w:val="28"/>
                            <w:szCs w:val="28"/>
                          </w:rPr>
                          <m:t>s</m:t>
                        </m:r>
                      </m:e>
                      <m:sub>
                        <m:r>
                          <w:rPr>
                            <w:rFonts w:ascii="Cambria Math" w:hAnsi="Cambria Math"/>
                            <w:sz w:val="28"/>
                            <w:szCs w:val="28"/>
                          </w:rPr>
                          <m:t>r</m:t>
                        </m:r>
                      </m:sub>
                      <m:sup>
                        <m:r>
                          <w:rPr>
                            <w:rFonts w:ascii="Cambria Math" w:hAnsi="Cambria Math"/>
                            <w:sz w:val="28"/>
                            <w:szCs w:val="28"/>
                          </w:rPr>
                          <m:t>*</m:t>
                        </m:r>
                      </m:sup>
                    </m:sSubSup>
                    <m:r>
                      <w:rPr>
                        <w:rFonts w:ascii="Cambria Math" w:hAnsi="Cambria Math"/>
                        <w:sz w:val="28"/>
                        <w:szCs w:val="28"/>
                      </w:rPr>
                      <m:t>)</m:t>
                    </m:r>
                  </m:e>
                  <m:sup>
                    <m:r>
                      <w:rPr>
                        <w:rFonts w:ascii="Cambria Math" w:hAnsi="Cambria Math"/>
                        <w:sz w:val="28"/>
                        <w:szCs w:val="28"/>
                      </w:rPr>
                      <m:t>2</m:t>
                    </m:r>
                  </m:sup>
                </m:sSup>
              </m:num>
              <m:den>
                <m:sSubSup>
                  <m:sSubSupPr>
                    <m:ctrlPr>
                      <w:rPr>
                        <w:rFonts w:ascii="Cambria Math" w:hAnsi="Cambria Math"/>
                        <w:i/>
                        <w:iCs/>
                        <w:sz w:val="28"/>
                        <w:szCs w:val="28"/>
                      </w:rPr>
                    </m:ctrlPr>
                  </m:sSubSupPr>
                  <m:e>
                    <m:r>
                      <w:rPr>
                        <w:rFonts w:ascii="Cambria Math" w:hAnsi="Cambria Math"/>
                        <w:sz w:val="28"/>
                        <w:szCs w:val="28"/>
                      </w:rPr>
                      <m:t>s</m:t>
                    </m:r>
                  </m:e>
                  <m:sub>
                    <m:r>
                      <w:rPr>
                        <w:rFonts w:ascii="Cambria Math" w:hAnsi="Cambria Math"/>
                        <w:sz w:val="28"/>
                        <w:szCs w:val="28"/>
                      </w:rPr>
                      <m:t>m</m:t>
                    </m:r>
                  </m:sub>
                  <m:sup>
                    <m:r>
                      <w:rPr>
                        <w:rFonts w:ascii="Cambria Math" w:hAnsi="Cambria Math"/>
                        <w:sz w:val="28"/>
                        <w:szCs w:val="28"/>
                      </w:rPr>
                      <m:t>*</m:t>
                    </m:r>
                  </m:sup>
                </m:sSubSup>
                <m:sSubSup>
                  <m:sSubSupPr>
                    <m:ctrlPr>
                      <w:rPr>
                        <w:rFonts w:ascii="Cambria Math" w:hAnsi="Cambria Math"/>
                        <w:i/>
                        <w:iCs/>
                        <w:sz w:val="28"/>
                        <w:szCs w:val="28"/>
                      </w:rPr>
                    </m:ctrlPr>
                  </m:sSubSupPr>
                  <m:e>
                    <m:r>
                      <w:rPr>
                        <w:rFonts w:ascii="Cambria Math" w:hAnsi="Cambria Math"/>
                        <w:sz w:val="28"/>
                        <w:szCs w:val="28"/>
                      </w:rPr>
                      <m:t>s</m:t>
                    </m:r>
                  </m:e>
                  <m:sub>
                    <m:r>
                      <w:rPr>
                        <w:rFonts w:ascii="Cambria Math" w:hAnsi="Cambria Math"/>
                        <w:sz w:val="28"/>
                        <w:szCs w:val="28"/>
                      </w:rPr>
                      <m:t>r</m:t>
                    </m:r>
                  </m:sub>
                  <m:sup>
                    <m:r>
                      <w:rPr>
                        <w:rFonts w:ascii="Cambria Math" w:hAnsi="Cambria Math"/>
                        <w:sz w:val="28"/>
                        <w:szCs w:val="28"/>
                      </w:rPr>
                      <m:t>*</m:t>
                    </m:r>
                  </m:sup>
                </m:sSubSup>
              </m:den>
            </m:f>
          </m:sup>
        </m:sSup>
      </m:oMath>
      <w:r>
        <w:rPr>
          <w:rFonts w:eastAsiaTheme="minorEastAsia"/>
          <w:iCs/>
          <w:sz w:val="28"/>
          <w:szCs w:val="28"/>
        </w:rPr>
        <w:tab/>
      </w:r>
      <w:r w:rsidR="00624C82" w:rsidRPr="000B18FC">
        <w:rPr>
          <w:rFonts w:eastAsiaTheme="minorEastAsia"/>
        </w:rPr>
        <w:t>(2.1)</w:t>
      </w:r>
    </w:p>
    <w:p w14:paraId="291E5C42" w14:textId="77777777" w:rsidR="00392541" w:rsidRDefault="00392541" w:rsidP="00392541">
      <w:pPr>
        <w:pStyle w:val="BodyText"/>
      </w:pPr>
    </w:p>
    <w:p w14:paraId="5519A4D9" w14:textId="1833711D" w:rsidR="00754A66" w:rsidRDefault="00392541" w:rsidP="00754A66">
      <w:pPr>
        <w:pStyle w:val="BodyText"/>
      </w:pPr>
      <w:r>
        <w:t>We propose a 9-level weighting scale in the manner of Technology Readiness Levels (TRLs) with weight</w:t>
      </w:r>
      <w:r w:rsidR="00ED1C69">
        <w:t>s</w:t>
      </w:r>
      <w:r>
        <w:t xml:space="preserve"> defined </w:t>
      </w:r>
      <w:r w:rsidR="00ED1C69">
        <w:t xml:space="preserve">in </w:t>
      </w:r>
      <w:r w:rsidR="00754A66" w:rsidRPr="00754A66">
        <w:fldChar w:fldCharType="begin"/>
      </w:r>
      <w:r w:rsidR="00754A66" w:rsidRPr="00754A66">
        <w:instrText xml:space="preserve"> REF _Ref111627285 \h  \* MERGEFORMAT </w:instrText>
      </w:r>
      <w:r w:rsidR="00754A66" w:rsidRPr="00754A66">
        <w:fldChar w:fldCharType="separate"/>
      </w:r>
      <w:r w:rsidR="00754A66" w:rsidRPr="00754A66">
        <w:rPr>
          <w:color w:val="auto"/>
          <w:szCs w:val="22"/>
        </w:rPr>
        <w:t xml:space="preserve">Table </w:t>
      </w:r>
      <w:r w:rsidR="00754A66" w:rsidRPr="00754A66">
        <w:rPr>
          <w:noProof/>
          <w:color w:val="auto"/>
          <w:szCs w:val="22"/>
        </w:rPr>
        <w:t>1</w:t>
      </w:r>
      <w:r w:rsidR="00754A66" w:rsidRPr="00754A66">
        <w:fldChar w:fldCharType="end"/>
      </w:r>
      <w:r w:rsidR="00754A66">
        <w:t xml:space="preserve"> </w:t>
      </w:r>
      <w:r>
        <w:t xml:space="preserve">according to a geometric series descending from level </w:t>
      </w:r>
      <w:r w:rsidR="00754A66">
        <w:t>9, operational real-world data.</w:t>
      </w:r>
      <w:r w:rsidR="00754A66">
        <w:br/>
      </w:r>
    </w:p>
    <w:p w14:paraId="5B59B1B6" w14:textId="2694091C" w:rsidR="00392541" w:rsidRPr="00754A66" w:rsidRDefault="00754A66" w:rsidP="00754A66">
      <w:pPr>
        <w:pStyle w:val="Caption"/>
        <w:keepNext/>
        <w:jc w:val="center"/>
        <w:rPr>
          <w:rFonts w:ascii="Georgia" w:hAnsi="Georgia"/>
          <w:color w:val="auto"/>
          <w:sz w:val="22"/>
          <w:szCs w:val="22"/>
        </w:rPr>
      </w:pPr>
      <w:bookmarkStart w:id="11" w:name="_Ref111627285"/>
      <w:r w:rsidRPr="00754A66">
        <w:rPr>
          <w:rFonts w:ascii="Georgia" w:hAnsi="Georgia"/>
          <w:b/>
          <w:i w:val="0"/>
          <w:color w:val="auto"/>
          <w:sz w:val="22"/>
          <w:szCs w:val="22"/>
        </w:rPr>
        <w:t xml:space="preserve">Table </w:t>
      </w:r>
      <w:r w:rsidRPr="00754A66">
        <w:rPr>
          <w:rFonts w:ascii="Georgia" w:hAnsi="Georgia"/>
          <w:b/>
          <w:i w:val="0"/>
          <w:color w:val="auto"/>
          <w:sz w:val="22"/>
          <w:szCs w:val="22"/>
        </w:rPr>
        <w:fldChar w:fldCharType="begin"/>
      </w:r>
      <w:r w:rsidRPr="00754A66">
        <w:rPr>
          <w:rFonts w:ascii="Georgia" w:hAnsi="Georgia"/>
          <w:b/>
          <w:i w:val="0"/>
          <w:color w:val="auto"/>
          <w:sz w:val="22"/>
          <w:szCs w:val="22"/>
        </w:rPr>
        <w:instrText xml:space="preserve"> SEQ Table \* ARABIC </w:instrText>
      </w:r>
      <w:r w:rsidRPr="00754A66">
        <w:rPr>
          <w:rFonts w:ascii="Georgia" w:hAnsi="Georgia"/>
          <w:b/>
          <w:i w:val="0"/>
          <w:color w:val="auto"/>
          <w:sz w:val="22"/>
          <w:szCs w:val="22"/>
        </w:rPr>
        <w:fldChar w:fldCharType="separate"/>
      </w:r>
      <w:r w:rsidRPr="00754A66">
        <w:rPr>
          <w:rFonts w:ascii="Georgia" w:hAnsi="Georgia"/>
          <w:b/>
          <w:i w:val="0"/>
          <w:noProof/>
          <w:color w:val="auto"/>
          <w:sz w:val="22"/>
          <w:szCs w:val="22"/>
        </w:rPr>
        <w:t>1</w:t>
      </w:r>
      <w:r w:rsidRPr="00754A66">
        <w:rPr>
          <w:rFonts w:ascii="Georgia" w:hAnsi="Georgia"/>
          <w:b/>
          <w:i w:val="0"/>
          <w:color w:val="auto"/>
          <w:sz w:val="22"/>
          <w:szCs w:val="22"/>
        </w:rPr>
        <w:fldChar w:fldCharType="end"/>
      </w:r>
      <w:bookmarkEnd w:id="11"/>
      <w:r w:rsidRPr="00754A66">
        <w:rPr>
          <w:rFonts w:ascii="Georgia" w:hAnsi="Georgia"/>
          <w:color w:val="auto"/>
          <w:sz w:val="22"/>
          <w:szCs w:val="22"/>
        </w:rPr>
        <w:br/>
      </w:r>
      <w:r w:rsidR="00D03472" w:rsidRPr="00754A66">
        <w:rPr>
          <w:rFonts w:ascii="Georgia" w:hAnsi="Georgia"/>
          <w:color w:val="auto"/>
          <w:sz w:val="22"/>
          <w:szCs w:val="22"/>
        </w:rPr>
        <w:t>Referent Authority Level Weights</w:t>
      </w:r>
    </w:p>
    <w:tbl>
      <w:tblPr>
        <w:tblStyle w:val="Plain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17"/>
        <w:gridCol w:w="5453"/>
        <w:gridCol w:w="2175"/>
      </w:tblGrid>
      <w:tr w:rsidR="00392541" w:rsidRPr="005C148A" w14:paraId="6B62F5CD" w14:textId="77777777" w:rsidTr="00D03472">
        <w:trPr>
          <w:cnfStyle w:val="100000000000" w:firstRow="1" w:lastRow="0" w:firstColumn="0" w:lastColumn="0" w:oddVBand="0" w:evenVBand="0" w:oddHBand="0" w:evenHBand="0" w:firstRowFirstColumn="0" w:firstRowLastColumn="0" w:lastRowFirstColumn="0" w:lastRowLastColumn="0"/>
          <w:trHeight w:val="267"/>
        </w:trPr>
        <w:tc>
          <w:tcPr>
            <w:tcW w:w="1390" w:type="dxa"/>
            <w:tcBorders>
              <w:bottom w:val="none" w:sz="0" w:space="0" w:color="auto"/>
            </w:tcBorders>
            <w:hideMark/>
          </w:tcPr>
          <w:p w14:paraId="1B036D7C" w14:textId="77777777" w:rsidR="00392541" w:rsidRPr="007C584E" w:rsidRDefault="00392541" w:rsidP="003F3FCB">
            <w:pPr>
              <w:widowControl/>
              <w:autoSpaceDE/>
              <w:autoSpaceDN/>
              <w:spacing w:line="264" w:lineRule="auto"/>
              <w:jc w:val="center"/>
              <w:rPr>
                <w:rFonts w:ascii="Georgia" w:eastAsia="Times New Roman" w:hAnsi="Georgia"/>
                <w:color w:val="auto"/>
                <w:sz w:val="24"/>
                <w:szCs w:val="24"/>
              </w:rPr>
            </w:pPr>
            <w:r w:rsidRPr="007C584E">
              <w:rPr>
                <w:rFonts w:ascii="Georgia" w:eastAsia="Times New Roman" w:hAnsi="Georgia" w:cs="Calibri"/>
                <w:color w:val="auto"/>
                <w:kern w:val="24"/>
                <w:sz w:val="24"/>
                <w:szCs w:val="24"/>
              </w:rPr>
              <w:t>Authority Level</w:t>
            </w:r>
          </w:p>
        </w:tc>
        <w:tc>
          <w:tcPr>
            <w:tcW w:w="5789" w:type="dxa"/>
            <w:tcBorders>
              <w:bottom w:val="none" w:sz="0" w:space="0" w:color="auto"/>
            </w:tcBorders>
            <w:hideMark/>
          </w:tcPr>
          <w:p w14:paraId="6D8BE3C5" w14:textId="77777777" w:rsidR="00392541" w:rsidRPr="007C584E" w:rsidRDefault="00392541" w:rsidP="003F3FCB">
            <w:pPr>
              <w:widowControl/>
              <w:autoSpaceDE/>
              <w:autoSpaceDN/>
              <w:spacing w:line="264" w:lineRule="auto"/>
              <w:jc w:val="center"/>
              <w:rPr>
                <w:rFonts w:ascii="Georgia" w:eastAsia="Times New Roman" w:hAnsi="Georgia"/>
                <w:color w:val="auto"/>
                <w:sz w:val="24"/>
                <w:szCs w:val="24"/>
              </w:rPr>
            </w:pPr>
            <w:r w:rsidRPr="007C584E">
              <w:rPr>
                <w:rFonts w:ascii="Georgia" w:eastAsia="Times New Roman" w:hAnsi="Georgia" w:cs="Calibri"/>
                <w:color w:val="auto"/>
                <w:kern w:val="24"/>
                <w:sz w:val="24"/>
                <w:szCs w:val="24"/>
              </w:rPr>
              <w:t>Relevant Referent</w:t>
            </w:r>
          </w:p>
        </w:tc>
        <w:tc>
          <w:tcPr>
            <w:tcW w:w="2266" w:type="dxa"/>
            <w:tcBorders>
              <w:bottom w:val="none" w:sz="0" w:space="0" w:color="auto"/>
            </w:tcBorders>
          </w:tcPr>
          <w:p w14:paraId="2AADDF79" w14:textId="77777777" w:rsidR="00392541" w:rsidRPr="007C584E" w:rsidRDefault="00392541" w:rsidP="003F3FCB">
            <w:pPr>
              <w:widowControl/>
              <w:autoSpaceDE/>
              <w:autoSpaceDN/>
              <w:spacing w:line="264" w:lineRule="auto"/>
              <w:jc w:val="center"/>
              <w:rPr>
                <w:rFonts w:ascii="Georgia" w:eastAsia="Times New Roman" w:hAnsi="Georgia" w:cs="Calibri"/>
                <w:color w:val="auto"/>
                <w:kern w:val="24"/>
                <w:sz w:val="24"/>
                <w:szCs w:val="24"/>
              </w:rPr>
            </w:pPr>
            <w:r w:rsidRPr="007C584E">
              <w:rPr>
                <w:rFonts w:ascii="Georgia" w:hAnsi="Georgia"/>
              </w:rPr>
              <w:t>Weight</w:t>
            </w:r>
          </w:p>
        </w:tc>
      </w:tr>
      <w:tr w:rsidR="00392541" w:rsidRPr="005C148A" w14:paraId="415246BF" w14:textId="77777777" w:rsidTr="00D03472">
        <w:trPr>
          <w:cnfStyle w:val="000000100000" w:firstRow="0" w:lastRow="0" w:firstColumn="0" w:lastColumn="0" w:oddVBand="0" w:evenVBand="0" w:oddHBand="1" w:evenHBand="0" w:firstRowFirstColumn="0" w:firstRowLastColumn="0" w:lastRowFirstColumn="0" w:lastRowLastColumn="0"/>
          <w:trHeight w:val="267"/>
        </w:trPr>
        <w:tc>
          <w:tcPr>
            <w:tcW w:w="1390" w:type="dxa"/>
            <w:hideMark/>
          </w:tcPr>
          <w:p w14:paraId="4E7CB94D"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1</w:t>
            </w:r>
          </w:p>
        </w:tc>
        <w:tc>
          <w:tcPr>
            <w:tcW w:w="5789" w:type="dxa"/>
            <w:hideMark/>
          </w:tcPr>
          <w:p w14:paraId="21DD9451"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SME Judgement</w:t>
            </w:r>
          </w:p>
        </w:tc>
        <w:tc>
          <w:tcPr>
            <w:tcW w:w="2266" w:type="dxa"/>
          </w:tcPr>
          <w:p w14:paraId="4C8FBCFE"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0.0183</w:t>
            </w:r>
          </w:p>
        </w:tc>
      </w:tr>
      <w:tr w:rsidR="00392541" w:rsidRPr="005C148A" w14:paraId="51D2EB4A" w14:textId="77777777" w:rsidTr="00D03472">
        <w:trPr>
          <w:trHeight w:val="267"/>
        </w:trPr>
        <w:tc>
          <w:tcPr>
            <w:tcW w:w="1390" w:type="dxa"/>
            <w:hideMark/>
          </w:tcPr>
          <w:p w14:paraId="0C70EB80"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2</w:t>
            </w:r>
          </w:p>
        </w:tc>
        <w:tc>
          <w:tcPr>
            <w:tcW w:w="5789" w:type="dxa"/>
            <w:hideMark/>
          </w:tcPr>
          <w:p w14:paraId="6307465E"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First Principles/Physics Predictions</w:t>
            </w:r>
          </w:p>
        </w:tc>
        <w:tc>
          <w:tcPr>
            <w:tcW w:w="2266" w:type="dxa"/>
          </w:tcPr>
          <w:p w14:paraId="29237F2F"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0.0302</w:t>
            </w:r>
          </w:p>
        </w:tc>
      </w:tr>
      <w:tr w:rsidR="00392541" w:rsidRPr="005C148A" w14:paraId="540B8BC8" w14:textId="77777777" w:rsidTr="00D03472">
        <w:trPr>
          <w:cnfStyle w:val="000000100000" w:firstRow="0" w:lastRow="0" w:firstColumn="0" w:lastColumn="0" w:oddVBand="0" w:evenVBand="0" w:oddHBand="1" w:evenHBand="0" w:firstRowFirstColumn="0" w:firstRowLastColumn="0" w:lastRowFirstColumn="0" w:lastRowLastColumn="0"/>
          <w:trHeight w:val="267"/>
        </w:trPr>
        <w:tc>
          <w:tcPr>
            <w:tcW w:w="1390" w:type="dxa"/>
            <w:hideMark/>
          </w:tcPr>
          <w:p w14:paraId="23995F16"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3</w:t>
            </w:r>
          </w:p>
        </w:tc>
        <w:tc>
          <w:tcPr>
            <w:tcW w:w="5789" w:type="dxa"/>
            <w:hideMark/>
          </w:tcPr>
          <w:p w14:paraId="4DE1835E"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Subcomponent Lab Test Data</w:t>
            </w:r>
          </w:p>
        </w:tc>
        <w:tc>
          <w:tcPr>
            <w:tcW w:w="2266" w:type="dxa"/>
          </w:tcPr>
          <w:p w14:paraId="5F7985B6"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0.0498</w:t>
            </w:r>
          </w:p>
        </w:tc>
      </w:tr>
      <w:tr w:rsidR="00392541" w:rsidRPr="005C148A" w14:paraId="2E2B47D2" w14:textId="77777777" w:rsidTr="00D03472">
        <w:trPr>
          <w:trHeight w:val="267"/>
        </w:trPr>
        <w:tc>
          <w:tcPr>
            <w:tcW w:w="1390" w:type="dxa"/>
            <w:hideMark/>
          </w:tcPr>
          <w:p w14:paraId="59FE4A60"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4</w:t>
            </w:r>
          </w:p>
        </w:tc>
        <w:tc>
          <w:tcPr>
            <w:tcW w:w="5789" w:type="dxa"/>
            <w:hideMark/>
          </w:tcPr>
          <w:p w14:paraId="0B783319"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Component Lab Test Data</w:t>
            </w:r>
          </w:p>
        </w:tc>
        <w:tc>
          <w:tcPr>
            <w:tcW w:w="2266" w:type="dxa"/>
          </w:tcPr>
          <w:p w14:paraId="1D4D00FA"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0.0821</w:t>
            </w:r>
          </w:p>
        </w:tc>
      </w:tr>
      <w:tr w:rsidR="00392541" w:rsidRPr="005C148A" w14:paraId="72A1E220" w14:textId="77777777" w:rsidTr="00D03472">
        <w:trPr>
          <w:cnfStyle w:val="000000100000" w:firstRow="0" w:lastRow="0" w:firstColumn="0" w:lastColumn="0" w:oddVBand="0" w:evenVBand="0" w:oddHBand="1" w:evenHBand="0" w:firstRowFirstColumn="0" w:firstRowLastColumn="0" w:lastRowFirstColumn="0" w:lastRowLastColumn="0"/>
          <w:trHeight w:val="267"/>
        </w:trPr>
        <w:tc>
          <w:tcPr>
            <w:tcW w:w="1390" w:type="dxa"/>
            <w:hideMark/>
          </w:tcPr>
          <w:p w14:paraId="4D6F0454"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5</w:t>
            </w:r>
          </w:p>
        </w:tc>
        <w:tc>
          <w:tcPr>
            <w:tcW w:w="5789" w:type="dxa"/>
            <w:hideMark/>
          </w:tcPr>
          <w:p w14:paraId="3705D778"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Lab-Scale System Test Data</w:t>
            </w:r>
          </w:p>
        </w:tc>
        <w:tc>
          <w:tcPr>
            <w:tcW w:w="2266" w:type="dxa"/>
          </w:tcPr>
          <w:p w14:paraId="7627DEF9"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0.1353</w:t>
            </w:r>
          </w:p>
        </w:tc>
      </w:tr>
      <w:tr w:rsidR="00392541" w:rsidRPr="005C148A" w14:paraId="3BD8E4A9" w14:textId="77777777" w:rsidTr="00D03472">
        <w:trPr>
          <w:trHeight w:val="267"/>
        </w:trPr>
        <w:tc>
          <w:tcPr>
            <w:tcW w:w="1390" w:type="dxa"/>
            <w:hideMark/>
          </w:tcPr>
          <w:p w14:paraId="476CE694"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6</w:t>
            </w:r>
          </w:p>
        </w:tc>
        <w:tc>
          <w:tcPr>
            <w:tcW w:w="5789" w:type="dxa"/>
            <w:hideMark/>
          </w:tcPr>
          <w:p w14:paraId="37D68678"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Full Scale Prototype Test Data</w:t>
            </w:r>
          </w:p>
        </w:tc>
        <w:tc>
          <w:tcPr>
            <w:tcW w:w="2266" w:type="dxa"/>
          </w:tcPr>
          <w:p w14:paraId="3BF1871B"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0.2231</w:t>
            </w:r>
          </w:p>
        </w:tc>
      </w:tr>
      <w:tr w:rsidR="00392541" w:rsidRPr="005C148A" w14:paraId="0CD6D5A8" w14:textId="77777777" w:rsidTr="00D03472">
        <w:trPr>
          <w:cnfStyle w:val="000000100000" w:firstRow="0" w:lastRow="0" w:firstColumn="0" w:lastColumn="0" w:oddVBand="0" w:evenVBand="0" w:oddHBand="1" w:evenHBand="0" w:firstRowFirstColumn="0" w:firstRowLastColumn="0" w:lastRowFirstColumn="0" w:lastRowLastColumn="0"/>
          <w:trHeight w:val="267"/>
        </w:trPr>
        <w:tc>
          <w:tcPr>
            <w:tcW w:w="1390" w:type="dxa"/>
            <w:hideMark/>
          </w:tcPr>
          <w:p w14:paraId="0AC8F6AC"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7</w:t>
            </w:r>
          </w:p>
        </w:tc>
        <w:tc>
          <w:tcPr>
            <w:tcW w:w="5789" w:type="dxa"/>
            <w:hideMark/>
          </w:tcPr>
          <w:p w14:paraId="5AABDEB4"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Production HW/SW-</w:t>
            </w:r>
          </w:p>
          <w:p w14:paraId="0E8B7E67"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in-the-loop Data</w:t>
            </w:r>
          </w:p>
        </w:tc>
        <w:tc>
          <w:tcPr>
            <w:tcW w:w="2266" w:type="dxa"/>
          </w:tcPr>
          <w:p w14:paraId="187CF52F"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0.3679</w:t>
            </w:r>
          </w:p>
        </w:tc>
      </w:tr>
      <w:tr w:rsidR="00392541" w:rsidRPr="005C148A" w14:paraId="163099AB" w14:textId="77777777" w:rsidTr="00D03472">
        <w:trPr>
          <w:trHeight w:val="267"/>
        </w:trPr>
        <w:tc>
          <w:tcPr>
            <w:tcW w:w="1390" w:type="dxa"/>
            <w:hideMark/>
          </w:tcPr>
          <w:p w14:paraId="28CF4FBF"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8</w:t>
            </w:r>
          </w:p>
        </w:tc>
        <w:tc>
          <w:tcPr>
            <w:tcW w:w="5789" w:type="dxa"/>
            <w:hideMark/>
          </w:tcPr>
          <w:p w14:paraId="34331154"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Live System Test Data</w:t>
            </w:r>
          </w:p>
        </w:tc>
        <w:tc>
          <w:tcPr>
            <w:tcW w:w="2266" w:type="dxa"/>
          </w:tcPr>
          <w:p w14:paraId="262C8D2C"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0.6065</w:t>
            </w:r>
          </w:p>
        </w:tc>
      </w:tr>
      <w:tr w:rsidR="00392541" w:rsidRPr="005C148A" w14:paraId="70CA0275" w14:textId="77777777" w:rsidTr="00D03472">
        <w:trPr>
          <w:cnfStyle w:val="000000100000" w:firstRow="0" w:lastRow="0" w:firstColumn="0" w:lastColumn="0" w:oddVBand="0" w:evenVBand="0" w:oddHBand="1" w:evenHBand="0" w:firstRowFirstColumn="0" w:firstRowLastColumn="0" w:lastRowFirstColumn="0" w:lastRowLastColumn="0"/>
          <w:trHeight w:val="267"/>
        </w:trPr>
        <w:tc>
          <w:tcPr>
            <w:tcW w:w="1390" w:type="dxa"/>
            <w:hideMark/>
          </w:tcPr>
          <w:p w14:paraId="6183EFF0"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9</w:t>
            </w:r>
          </w:p>
        </w:tc>
        <w:tc>
          <w:tcPr>
            <w:tcW w:w="5789" w:type="dxa"/>
            <w:hideMark/>
          </w:tcPr>
          <w:p w14:paraId="1D98BA95" w14:textId="77777777" w:rsidR="00392541" w:rsidRPr="00D03472" w:rsidRDefault="00392541" w:rsidP="003F3FCB">
            <w:pPr>
              <w:widowControl/>
              <w:autoSpaceDE/>
              <w:autoSpaceDN/>
              <w:spacing w:line="264" w:lineRule="auto"/>
              <w:jc w:val="center"/>
              <w:rPr>
                <w:rFonts w:ascii="Georgia" w:eastAsia="Times New Roman" w:hAnsi="Georgia"/>
                <w:color w:val="auto"/>
              </w:rPr>
            </w:pPr>
            <w:r w:rsidRPr="00D03472">
              <w:rPr>
                <w:rFonts w:ascii="Georgia" w:eastAsia="Times New Roman" w:hAnsi="Georgia" w:cs="Calibri"/>
                <w:color w:val="000000" w:themeColor="dark1"/>
                <w:kern w:val="24"/>
              </w:rPr>
              <w:t>Operational Real-World Data</w:t>
            </w:r>
          </w:p>
        </w:tc>
        <w:tc>
          <w:tcPr>
            <w:tcW w:w="2266" w:type="dxa"/>
          </w:tcPr>
          <w:p w14:paraId="073AAB4B" w14:textId="77777777" w:rsidR="00392541" w:rsidRPr="00D03472" w:rsidRDefault="00392541" w:rsidP="003F3FCB">
            <w:pPr>
              <w:widowControl/>
              <w:autoSpaceDE/>
              <w:autoSpaceDN/>
              <w:spacing w:line="264" w:lineRule="auto"/>
              <w:jc w:val="center"/>
              <w:rPr>
                <w:rFonts w:ascii="Georgia" w:eastAsia="Times New Roman" w:hAnsi="Georgia" w:cs="Calibri"/>
                <w:color w:val="000000" w:themeColor="dark1"/>
                <w:kern w:val="24"/>
              </w:rPr>
            </w:pPr>
            <w:r w:rsidRPr="00D03472">
              <w:rPr>
                <w:rFonts w:ascii="Georgia" w:hAnsi="Georgia"/>
              </w:rPr>
              <w:t>1.0000</w:t>
            </w:r>
          </w:p>
        </w:tc>
      </w:tr>
    </w:tbl>
    <w:p w14:paraId="10CD34C6" w14:textId="77777777" w:rsidR="00392541" w:rsidRDefault="00392541" w:rsidP="00392541">
      <w:pPr>
        <w:pStyle w:val="BodyText"/>
        <w:contextualSpacing/>
      </w:pPr>
    </w:p>
    <w:p w14:paraId="2B6E438F" w14:textId="2BEC7866" w:rsidR="00392541" w:rsidRPr="0002550D" w:rsidRDefault="00392541" w:rsidP="00392541">
      <w:pPr>
        <w:pStyle w:val="BodyText"/>
        <w:contextualSpacing/>
        <w:rPr>
          <w:rFonts w:eastAsiaTheme="minorEastAsia"/>
          <w:iCs/>
        </w:rPr>
      </w:pPr>
      <w:r>
        <w:t xml:space="preserve">The choice to include 9 levels is largely arbitrary in terms of mathematical implications but is convenient for interpretation. </w:t>
      </w:r>
      <w:r>
        <w:rPr>
          <w:rFonts w:eastAsiaTheme="minorEastAsia"/>
          <w:iCs/>
        </w:rPr>
        <w:t xml:space="preserve">Using a geometric series gives a consistent rate of reduction so that </w:t>
      </w:r>
      <w:r w:rsidR="00AE5AD9">
        <w:rPr>
          <w:rFonts w:eastAsiaTheme="minorEastAsia"/>
          <w:iCs/>
        </w:rPr>
        <w:t xml:space="preserve">the </w:t>
      </w:r>
      <w:r>
        <w:rPr>
          <w:rFonts w:eastAsiaTheme="minorEastAsia"/>
          <w:iCs/>
        </w:rPr>
        <w:t xml:space="preserve">amount of authority between levels can be consistently understood. The rate of reduction is defined as </w:t>
      </w:r>
      <m:oMath>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-1</m:t>
            </m:r>
            <m:r>
              <m:rPr>
                <m:nor/>
              </m:rPr>
              <w:rPr>
                <w:rFonts w:ascii="Cambria Math" w:eastAsiaTheme="minorEastAsia" w:hAnsi="Cambria Math"/>
                <w:iCs/>
              </w:rPr>
              <m:t>/</m:t>
            </m:r>
            <m:r>
              <w:rPr>
                <w:rFonts w:ascii="Cambria Math" w:eastAsiaTheme="minorEastAsia" w:hAnsi="Cambria Math"/>
              </w:rPr>
              <m:t>2</m:t>
            </m:r>
          </m:sup>
        </m:sSup>
      </m:oMath>
      <w:r>
        <w:rPr>
          <w:rFonts w:eastAsiaTheme="minorEastAsia"/>
          <w:iCs/>
        </w:rPr>
        <w:t>, and is set such that a difference of one standard deviation between the mean response of a model and a referent results in a one referent level reduction in authority. The weighting for a 9-level referent authorit</w:t>
      </w:r>
      <w:r w:rsidR="000F1FCD">
        <w:rPr>
          <w:rFonts w:eastAsiaTheme="minorEastAsia"/>
          <w:iCs/>
        </w:rPr>
        <w:t>y scale is given in Equation 2.2</w:t>
      </w:r>
      <w:r w:rsidR="00143D7D">
        <w:rPr>
          <w:rFonts w:eastAsiaTheme="minorEastAsia"/>
          <w:iCs/>
        </w:rPr>
        <w:t xml:space="preserve"> where </w:t>
      </w:r>
      <m:oMath>
        <m:r>
          <w:rPr>
            <w:rFonts w:ascii="Cambria Math" w:eastAsiaTheme="minorEastAsia" w:hAnsi="Cambria Math"/>
          </w:rPr>
          <m:t>i</m:t>
        </m:r>
      </m:oMath>
      <w:r w:rsidR="00ED1C69" w:rsidDel="00ED1C69">
        <w:rPr>
          <w:rFonts w:eastAsiaTheme="minorEastAsia"/>
          <w:i/>
          <w:iCs/>
        </w:rPr>
        <w:t xml:space="preserve"> </w:t>
      </w:r>
      <w:r w:rsidR="00143D7D">
        <w:rPr>
          <w:rFonts w:eastAsiaTheme="minorEastAsia"/>
          <w:i/>
          <w:iCs/>
        </w:rPr>
        <w:t xml:space="preserve"> </w:t>
      </w:r>
      <w:r w:rsidR="00143D7D">
        <w:rPr>
          <w:rFonts w:eastAsiaTheme="minorEastAsia"/>
          <w:iCs/>
        </w:rPr>
        <w:t>is the referent</w:t>
      </w:r>
      <w:r w:rsidR="008C7013">
        <w:rPr>
          <w:rFonts w:eastAsiaTheme="minorEastAsia"/>
          <w:iCs/>
        </w:rPr>
        <w:t xml:space="preserve"> authority</w:t>
      </w:r>
      <w:r w:rsidR="00143D7D">
        <w:rPr>
          <w:rFonts w:eastAsiaTheme="minorEastAsia"/>
          <w:iCs/>
        </w:rPr>
        <w:t xml:space="preserve"> level.</w:t>
      </w:r>
    </w:p>
    <w:p w14:paraId="40227E32" w14:textId="77777777" w:rsidR="00392541" w:rsidRDefault="00392541" w:rsidP="00392541">
      <w:pPr>
        <w:pStyle w:val="BodyText"/>
      </w:pPr>
    </w:p>
    <w:p w14:paraId="06501551" w14:textId="1126FFD1" w:rsidR="00392541" w:rsidRPr="00EB0429" w:rsidRDefault="00DF4283" w:rsidP="00EB0429">
      <w:pPr>
        <w:pStyle w:val="BodyText"/>
        <w:tabs>
          <w:tab w:val="center" w:pos="4680"/>
          <w:tab w:val="right" w:pos="9360"/>
        </w:tabs>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i</m:t>
            </m:r>
          </m:sub>
        </m:sSub>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e</m:t>
            </m:r>
          </m:e>
          <m:sup>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r>
              <m:rPr>
                <m:sty m:val="p"/>
              </m:rPr>
              <w:rPr>
                <w:rFonts w:ascii="Cambria Math" w:eastAsiaTheme="minorEastAsia" w:hAnsi="Cambria Math"/>
              </w:rPr>
              <m:t>(9-</m:t>
            </m:r>
            <m:r>
              <w:rPr>
                <w:rFonts w:ascii="Cambria Math" w:eastAsiaTheme="minorEastAsia" w:hAnsi="Cambria Math"/>
              </w:rPr>
              <m:t>i</m:t>
            </m:r>
            <m:r>
              <m:rPr>
                <m:sty m:val="p"/>
              </m:rPr>
              <w:rPr>
                <w:rFonts w:ascii="Cambria Math" w:eastAsiaTheme="minorEastAsia" w:hAnsi="Cambria Math"/>
              </w:rPr>
              <m:t>)</m:t>
            </m:r>
          </m:sup>
        </m:sSup>
        <m:r>
          <m:rPr>
            <m:sty m:val="p"/>
          </m:rPr>
          <w:rPr>
            <w:rFonts w:ascii="Cambria Math" w:eastAsiaTheme="minorEastAsia" w:hAnsi="Cambria Math"/>
          </w:rPr>
          <m:t xml:space="preserve"> ,   </m:t>
        </m:r>
        <m:r>
          <w:rPr>
            <w:rFonts w:ascii="Cambria Math" w:eastAsiaTheme="minorEastAsia" w:hAnsi="Cambria Math"/>
          </w:rPr>
          <m:t>i</m:t>
        </m:r>
        <m:r>
          <m:rPr>
            <m:sty m:val="p"/>
          </m:rPr>
          <w:rPr>
            <w:rFonts w:ascii="Cambria Math" w:eastAsiaTheme="minorEastAsia" w:hAnsi="Cambria Math"/>
          </w:rPr>
          <m:t>=1,…,</m:t>
        </m:r>
        <m:r>
          <w:rPr>
            <w:rFonts w:ascii="Cambria Math" w:eastAsiaTheme="minorEastAsia" w:hAnsi="Cambria Math"/>
          </w:rPr>
          <m:t>9</m:t>
        </m:r>
      </m:oMath>
      <w:r>
        <w:rPr>
          <w:rFonts w:eastAsiaTheme="minorEastAsia"/>
          <w:iCs/>
        </w:rPr>
        <w:tab/>
      </w:r>
      <w:r w:rsidR="000F1FCD">
        <w:rPr>
          <w:rFonts w:eastAsiaTheme="minorEastAsia"/>
        </w:rPr>
        <w:t>(2.2</w:t>
      </w:r>
      <w:r w:rsidR="00392541">
        <w:rPr>
          <w:rFonts w:eastAsiaTheme="minorEastAsia"/>
        </w:rPr>
        <w:t>)</w:t>
      </w:r>
    </w:p>
    <w:p w14:paraId="494E6D09" w14:textId="77777777" w:rsidR="00392541" w:rsidRDefault="00392541" w:rsidP="00392541">
      <w:pPr>
        <w:pStyle w:val="BodyText"/>
      </w:pPr>
    </w:p>
    <w:p w14:paraId="60B9DD57" w14:textId="790F308F" w:rsidR="00392541" w:rsidRDefault="00392541" w:rsidP="00392541">
      <w:pPr>
        <w:pStyle w:val="BodyText"/>
      </w:pPr>
      <w:r>
        <w:t>A benefit of the geometric series weighting is the heavier emphasis on higher referent levels for assessing a model. That is, consistency with high</w:t>
      </w:r>
      <w:r w:rsidR="00AE5AD9">
        <w:t>-</w:t>
      </w:r>
      <w:r>
        <w:t>level referents will be significantly more impactful to an MVL score than consistency with low</w:t>
      </w:r>
      <w:r w:rsidR="00AE5AD9">
        <w:t>-</w:t>
      </w:r>
      <w:r>
        <w:t>level referents.</w:t>
      </w:r>
    </w:p>
    <w:p w14:paraId="556D4219" w14:textId="77777777" w:rsidR="00392541" w:rsidRDefault="00392541" w:rsidP="00392541">
      <w:pPr>
        <w:pStyle w:val="BodyText"/>
      </w:pPr>
    </w:p>
    <w:p w14:paraId="5B8D9DB6" w14:textId="09AC6752" w:rsidR="00392541" w:rsidRDefault="00392541" w:rsidP="00392541">
      <w:pPr>
        <w:pStyle w:val="APALevelHeading3"/>
        <w:contextualSpacing/>
      </w:pPr>
      <w:bookmarkStart w:id="12" w:name="_Toc108514033"/>
      <w:bookmarkStart w:id="13" w:name="_Toc111627596"/>
      <w:r>
        <w:t>Referent Pooling with Normalized Power Priors</w:t>
      </w:r>
      <w:bookmarkEnd w:id="12"/>
      <w:bookmarkEnd w:id="13"/>
    </w:p>
    <w:p w14:paraId="7F24B46C" w14:textId="440826E7" w:rsidR="00392541" w:rsidRDefault="00392541" w:rsidP="00392541">
      <w:pPr>
        <w:pStyle w:val="BodyText"/>
        <w:contextualSpacing/>
      </w:pPr>
      <w:r>
        <w:t>The referent authority weighting scale enables us to consider fidelity and referent authority of a model, but there remains a question of how to measure fidelity when we have multiple referents to assess a model against. A common response may be to measure fidelity against the most trusted referent while discarding the rest. However, since no referent presents a truly perfect</w:t>
      </w:r>
      <w:r w:rsidR="00DA020D">
        <w:t xml:space="preserve"> or complete</w:t>
      </w:r>
      <w:r>
        <w:t xml:space="preserve"> picture of reality, a better approach is to use a method that can leverage every source of information available. Emphasis should be placed on the referents known to be the most trustworthy while still allowing other sources of relevant knowledge to refine our understanding of reality.</w:t>
      </w:r>
    </w:p>
    <w:p w14:paraId="3E2A9769" w14:textId="77777777" w:rsidR="00392541" w:rsidRDefault="00392541" w:rsidP="00392541">
      <w:pPr>
        <w:pStyle w:val="BodyText"/>
        <w:contextualSpacing/>
      </w:pPr>
    </w:p>
    <w:p w14:paraId="02FF5A82" w14:textId="3D6A1412" w:rsidR="00392541" w:rsidRDefault="00392541" w:rsidP="00392541">
      <w:pPr>
        <w:pStyle w:val="BodyText"/>
        <w:contextualSpacing/>
      </w:pPr>
      <w:r>
        <w:t xml:space="preserve">Bayesian </w:t>
      </w:r>
      <w:r w:rsidR="00AA23D7">
        <w:t>s</w:t>
      </w:r>
      <w:r>
        <w:t>tatistics</w:t>
      </w:r>
      <w:r w:rsidR="00B5455A">
        <w:t xml:space="preserve"> provides a method</w:t>
      </w:r>
      <w:r w:rsidRPr="001F4753">
        <w:t xml:space="preserve"> </w:t>
      </w:r>
      <w:r>
        <w:t>referred to a</w:t>
      </w:r>
      <w:r w:rsidR="00B5455A">
        <w:t>s Normalized Power Priors (NPP)</w:t>
      </w:r>
      <w:r>
        <w:t xml:space="preserve"> which incorporates information from various referents while weighting the impact of each referent. The output of this method will be a single mean and standard deviation,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Theme="minorEastAsia" w:hAnsi="Cambria Math"/>
                  </w:rPr>
                  <m:t>x</m:t>
                </m:r>
              </m:e>
            </m:acc>
          </m:e>
          <m:sub>
            <m:r>
              <w:rPr>
                <w:rFonts w:ascii="Cambria Math" w:eastAsiaTheme="minorEastAsia" w:hAnsi="Cambria Math"/>
              </w:rPr>
              <m:t>r</m:t>
            </m:r>
          </m:sub>
        </m:sSub>
      </m:oMath>
      <w:r w:rsidRPr="001F0D57">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oMath>
      <w:r>
        <w:t>,</w:t>
      </w:r>
      <w:r w:rsidR="002963EC">
        <w:t xml:space="preserve"> </w:t>
      </w:r>
      <w:r w:rsidR="002963EC" w:rsidRPr="002963EC">
        <w:t>based on the referent information</w:t>
      </w:r>
      <w:r>
        <w:t xml:space="preserve"> for input into Equation 1.</w:t>
      </w:r>
      <w:r w:rsidR="004E1B00">
        <w:t>4</w:t>
      </w:r>
      <w:r>
        <w:t xml:space="preserve">. </w:t>
      </w:r>
    </w:p>
    <w:p w14:paraId="193FEC05" w14:textId="77777777" w:rsidR="00392541" w:rsidRDefault="00392541" w:rsidP="00392541">
      <w:pPr>
        <w:pStyle w:val="BodyText"/>
        <w:contextualSpacing/>
      </w:pPr>
    </w:p>
    <w:p w14:paraId="444E3789" w14:textId="77777777" w:rsidR="00392541" w:rsidRDefault="00392541" w:rsidP="00392541">
      <w:pPr>
        <w:pStyle w:val="BodyText"/>
        <w:contextualSpacing/>
      </w:pPr>
      <w:r>
        <w:t xml:space="preserve">Bayesian statistics is a branch of statistical methods which aims to mathematically describe our existing knowledge, referred to as the prior distribution, and update that knowledge with data. This results in a new distribution referred to as the posterior. In the case of referent authority, our referents are the sources of data we will use to update our knowledge. </w:t>
      </w:r>
    </w:p>
    <w:p w14:paraId="07B56AB3" w14:textId="77777777" w:rsidR="00392541" w:rsidRDefault="00392541" w:rsidP="00392541">
      <w:pPr>
        <w:pStyle w:val="BodyText"/>
        <w:contextualSpacing/>
      </w:pPr>
    </w:p>
    <w:p w14:paraId="55CB0608" w14:textId="0D97C720" w:rsidR="00392541" w:rsidRDefault="00392541" w:rsidP="00392541">
      <w:pPr>
        <w:pStyle w:val="BodyText"/>
        <w:contextualSpacing/>
      </w:pPr>
      <w:r>
        <w:t>The general form of a Bayesian method for updating informa</w:t>
      </w:r>
      <w:r w:rsidR="000F1FCD">
        <w:t>tion is provided in Equation 2.3</w:t>
      </w:r>
      <w:r>
        <w:t xml:space="preserve"> where </w:t>
      </w:r>
      <m:oMath>
        <m:r>
          <w:rPr>
            <w:rFonts w:ascii="Cambria Math" w:hAnsi="Cambria Math"/>
          </w:rPr>
          <m:t>p(θ)</m:t>
        </m:r>
      </m:oMath>
      <w:r>
        <w:rPr>
          <w:rFonts w:eastAsiaTheme="minorEastAsia"/>
        </w:rPr>
        <w:t xml:space="preserve"> is a prior probability distribution modelling our existing understanding of </w:t>
      </w:r>
      <w:r w:rsidR="00C216EE">
        <w:rPr>
          <w:rFonts w:eastAsiaTheme="minorEastAsia"/>
        </w:rPr>
        <w:t>some</w:t>
      </w:r>
      <w:r>
        <w:rPr>
          <w:rFonts w:eastAsiaTheme="minorEastAsia"/>
        </w:rPr>
        <w:t xml:space="preserve"> parameter</w:t>
      </w:r>
      <w:r w:rsidR="00C216EE">
        <w:rPr>
          <w:rFonts w:eastAsiaTheme="minorEastAsia"/>
        </w:rPr>
        <w:t xml:space="preserve"> or set of parameters,</w:t>
      </w:r>
      <w:r>
        <w:rPr>
          <w:rFonts w:eastAsiaTheme="minorEastAsia"/>
        </w:rPr>
        <w:t xml:space="preserve"> </w:t>
      </w:r>
      <m:oMath>
        <m:r>
          <w:rPr>
            <w:rFonts w:ascii="Cambria Math" w:hAnsi="Cambria Math"/>
          </w:rPr>
          <m:t>θ</m:t>
        </m:r>
      </m:oMath>
      <w:r>
        <w:rPr>
          <w:rFonts w:eastAsiaTheme="minorEastAsia"/>
        </w:rPr>
        <w:t xml:space="preserve">. In the equation, </w:t>
      </w:r>
      <m:oMath>
        <m:r>
          <w:rPr>
            <w:rFonts w:ascii="Cambria Math" w:hAnsi="Cambria Math"/>
          </w:rPr>
          <m:t>L</m:t>
        </m:r>
        <m:d>
          <m:dPr>
            <m:ctrlPr>
              <w:rPr>
                <w:rFonts w:ascii="Cambria Math" w:hAnsi="Cambria Math"/>
                <w:i/>
                <w:iCs/>
              </w:rPr>
            </m:ctrlPr>
          </m:dPr>
          <m:e>
            <m:r>
              <w:rPr>
                <w:rFonts w:ascii="Cambria Math" w:hAnsi="Cambria Math"/>
              </w:rPr>
              <m:t>θ</m:t>
            </m:r>
          </m:e>
          <m:e>
            <m:r>
              <m:rPr>
                <m:sty m:val="p"/>
              </m:rPr>
              <w:rPr>
                <w:rFonts w:ascii="Cambria Math" w:hAnsi="Cambria Math"/>
              </w:rPr>
              <m:t>data</m:t>
            </m:r>
          </m:e>
        </m:d>
      </m:oMath>
      <w:r>
        <w:rPr>
          <w:rFonts w:eastAsiaTheme="minorEastAsia"/>
          <w:iCs/>
        </w:rPr>
        <w:t xml:space="preserve"> is a likelihood func</w:t>
      </w:r>
      <w:r w:rsidR="00487C6C">
        <w:rPr>
          <w:rFonts w:eastAsiaTheme="minorEastAsia"/>
          <w:iCs/>
        </w:rPr>
        <w:t>tion that assess</w:t>
      </w:r>
      <w:r w:rsidR="00AA23D7">
        <w:rPr>
          <w:rFonts w:eastAsiaTheme="minorEastAsia"/>
          <w:iCs/>
        </w:rPr>
        <w:t>es</w:t>
      </w:r>
      <w:r w:rsidR="00487C6C">
        <w:rPr>
          <w:rFonts w:eastAsiaTheme="minorEastAsia"/>
          <w:iCs/>
        </w:rPr>
        <w:t xml:space="preserve"> the likely values of a parameter of interest according to</w:t>
      </w:r>
      <w:r>
        <w:rPr>
          <w:rFonts w:eastAsiaTheme="minorEastAsia"/>
          <w:iCs/>
        </w:rPr>
        <w:t xml:space="preserve"> </w:t>
      </w:r>
      <w:r w:rsidR="00C216EE">
        <w:rPr>
          <w:rFonts w:eastAsiaTheme="minorEastAsia"/>
          <w:iCs/>
        </w:rPr>
        <w:t xml:space="preserve">the observed </w:t>
      </w:r>
      <w:r w:rsidR="00B5455A">
        <w:rPr>
          <w:rFonts w:eastAsiaTheme="minorEastAsia"/>
          <w:iCs/>
        </w:rPr>
        <w:t xml:space="preserve">data. </w:t>
      </w:r>
      <w:r>
        <w:rPr>
          <w:rFonts w:eastAsiaTheme="minorEastAsia"/>
          <w:iCs/>
        </w:rPr>
        <w:t xml:space="preserve">The result, </w:t>
      </w:r>
      <m:oMath>
        <m:r>
          <w:rPr>
            <w:rFonts w:ascii="Cambria Math" w:hAnsi="Cambria Math"/>
          </w:rPr>
          <m:t>p</m:t>
        </m:r>
        <m:d>
          <m:dPr>
            <m:ctrlPr>
              <w:rPr>
                <w:rFonts w:ascii="Cambria Math" w:hAnsi="Cambria Math"/>
                <w:i/>
                <w:iCs/>
              </w:rPr>
            </m:ctrlPr>
          </m:dPr>
          <m:e>
            <m:r>
              <w:rPr>
                <w:rFonts w:ascii="Cambria Math" w:hAnsi="Cambria Math"/>
              </w:rPr>
              <m:t>θ</m:t>
            </m:r>
          </m:e>
          <m:e>
            <m:r>
              <m:rPr>
                <m:sty m:val="p"/>
              </m:rPr>
              <w:rPr>
                <w:rFonts w:ascii="Cambria Math" w:hAnsi="Cambria Math"/>
              </w:rPr>
              <m:t>data</m:t>
            </m:r>
          </m:e>
        </m:d>
        <m:r>
          <w:rPr>
            <w:rFonts w:ascii="Cambria Math" w:hAnsi="Cambria Math"/>
          </w:rPr>
          <m:t>,</m:t>
        </m:r>
      </m:oMath>
      <w:r>
        <w:rPr>
          <w:rFonts w:eastAsiaTheme="minorEastAsia"/>
          <w:iCs/>
        </w:rPr>
        <w:t xml:space="preserve"> is our updated understanding </w:t>
      </w:r>
      <w:r w:rsidR="00AA23D7">
        <w:rPr>
          <w:rFonts w:eastAsiaTheme="minorEastAsia"/>
          <w:iCs/>
        </w:rPr>
        <w:t xml:space="preserve">that takes </w:t>
      </w:r>
      <w:r>
        <w:rPr>
          <w:rFonts w:eastAsiaTheme="minorEastAsia"/>
          <w:iCs/>
        </w:rPr>
        <w:t>into account both our prior knowledge and our data.</w:t>
      </w:r>
    </w:p>
    <w:p w14:paraId="68B332CD" w14:textId="77777777" w:rsidR="00392541" w:rsidRDefault="00392541" w:rsidP="00392541">
      <w:pPr>
        <w:pStyle w:val="BodyText"/>
      </w:pPr>
    </w:p>
    <w:p w14:paraId="3DB0D0C4" w14:textId="4ED6FAD7" w:rsidR="00392541" w:rsidRPr="00CA3DFE" w:rsidRDefault="00DF4283" w:rsidP="00EB0429">
      <w:pPr>
        <w:pStyle w:val="BodyText"/>
        <w:tabs>
          <w:tab w:val="center" w:pos="4680"/>
          <w:tab w:val="right" w:pos="9360"/>
        </w:tabs>
      </w:pPr>
      <w:r>
        <w:rPr>
          <w:rFonts w:eastAsiaTheme="minorEastAsia"/>
        </w:rPr>
        <w:tab/>
      </w:r>
      <m:oMath>
        <m:r>
          <w:rPr>
            <w:rFonts w:ascii="Cambria Math" w:hAnsi="Cambria Math"/>
          </w:rPr>
          <m:t>p</m:t>
        </m:r>
        <m:d>
          <m:dPr>
            <m:ctrlPr>
              <w:rPr>
                <w:rFonts w:ascii="Cambria Math" w:hAnsi="Cambria Math"/>
                <w:i/>
                <w:iCs/>
              </w:rPr>
            </m:ctrlPr>
          </m:dPr>
          <m:e>
            <m:r>
              <w:rPr>
                <w:rFonts w:ascii="Cambria Math" w:hAnsi="Cambria Math"/>
              </w:rPr>
              <m:t>θ</m:t>
            </m:r>
          </m:e>
          <m:e>
            <m:r>
              <m:rPr>
                <m:sty m:val="p"/>
              </m:rPr>
              <w:rPr>
                <w:rFonts w:ascii="Cambria Math" w:hAnsi="Cambria Math"/>
              </w:rPr>
              <m:t>data</m:t>
            </m:r>
          </m:e>
        </m:d>
        <m:r>
          <w:rPr>
            <w:rFonts w:ascii="Cambria Math" w:hAnsi="Cambria Math"/>
          </w:rPr>
          <m:t>∝L</m:t>
        </m:r>
        <m:d>
          <m:dPr>
            <m:ctrlPr>
              <w:rPr>
                <w:rFonts w:ascii="Cambria Math" w:hAnsi="Cambria Math"/>
                <w:i/>
                <w:iCs/>
              </w:rPr>
            </m:ctrlPr>
          </m:dPr>
          <m:e>
            <m:r>
              <w:rPr>
                <w:rFonts w:ascii="Cambria Math" w:hAnsi="Cambria Math"/>
              </w:rPr>
              <m:t>θ</m:t>
            </m:r>
          </m:e>
          <m:e>
            <m:r>
              <m:rPr>
                <m:sty m:val="p"/>
              </m:rPr>
              <w:rPr>
                <w:rFonts w:ascii="Cambria Math" w:hAnsi="Cambria Math"/>
              </w:rPr>
              <m:t>data</m:t>
            </m:r>
          </m:e>
        </m:d>
        <m:r>
          <w:rPr>
            <w:rFonts w:ascii="Cambria Math" w:hAnsi="Cambria Math"/>
          </w:rPr>
          <m:t>*p(θ)</m:t>
        </m:r>
      </m:oMath>
      <w:r>
        <w:rPr>
          <w:rFonts w:eastAsiaTheme="minorEastAsia"/>
        </w:rPr>
        <w:tab/>
      </w:r>
      <w:r w:rsidR="000F1FCD">
        <w:rPr>
          <w:rFonts w:eastAsiaTheme="minorEastAsia"/>
        </w:rPr>
        <w:t>(2.3</w:t>
      </w:r>
      <w:r w:rsidR="00392541">
        <w:rPr>
          <w:rFonts w:eastAsiaTheme="minorEastAsia"/>
        </w:rPr>
        <w:t>)</w:t>
      </w:r>
    </w:p>
    <w:p w14:paraId="696663D6" w14:textId="42E60ED8" w:rsidR="00392541" w:rsidRDefault="00392541" w:rsidP="00392541">
      <w:pPr>
        <w:pStyle w:val="BodyText"/>
      </w:pPr>
    </w:p>
    <w:p w14:paraId="1810F085" w14:textId="2861F4A8" w:rsidR="00392541" w:rsidRDefault="00392541" w:rsidP="00392541">
      <w:pPr>
        <w:pStyle w:val="BodyText"/>
      </w:pPr>
      <w:r>
        <w:rPr>
          <w:rFonts w:eastAsiaTheme="minorEastAsia"/>
        </w:rPr>
        <w:t>To accommodate the fidelity calculation, we define</w:t>
      </w:r>
      <m:oMath>
        <m:r>
          <w:rPr>
            <w:rFonts w:ascii="Cambria Math" w:hAnsi="Cambria Math"/>
          </w:rPr>
          <m:t xml:space="preserve"> θ</m:t>
        </m:r>
      </m:oMath>
      <w:r>
        <w:rPr>
          <w:rFonts w:eastAsiaTheme="minorEastAsia"/>
        </w:rPr>
        <w:t xml:space="preserve"> as </w:t>
      </w:r>
      <m:oMath>
        <m:d>
          <m:dPr>
            <m:ctrlPr>
              <w:rPr>
                <w:rFonts w:ascii="Cambria Math" w:eastAsiaTheme="minorEastAsia" w:hAnsi="Cambria Math"/>
                <w:i/>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d>
      </m:oMath>
      <w:r>
        <w:rPr>
          <w:rFonts w:eastAsiaTheme="minorEastAsia"/>
        </w:rPr>
        <w:t xml:space="preserve">, the mean and variance, respectively, of the response of interest. The posterior distribution then provides inputs to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Theme="minorEastAsia" w:hAnsi="Cambria Math"/>
                  </w:rPr>
                  <m:t>x</m:t>
                </m:r>
              </m:e>
            </m:acc>
          </m:e>
          <m:sub>
            <m:r>
              <w:rPr>
                <w:rFonts w:ascii="Cambria Math" w:eastAsiaTheme="minorEastAsia" w:hAnsi="Cambria Math"/>
              </w:rPr>
              <m:t>r</m:t>
            </m:r>
          </m:sub>
        </m:sSub>
      </m:oMath>
      <w:r w:rsidRPr="001F0D57">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oMath>
      <w:r>
        <w:rPr>
          <w:rFonts w:eastAsiaTheme="minorEastAsia"/>
        </w:rPr>
        <w:t xml:space="preserve"> respectively for Equation 1.</w:t>
      </w:r>
      <w:r w:rsidR="004E1B00">
        <w:rPr>
          <w:rFonts w:eastAsiaTheme="minorEastAsia"/>
        </w:rPr>
        <w:t>4</w:t>
      </w:r>
      <w:r>
        <w:rPr>
          <w:rFonts w:eastAsiaTheme="minorEastAsia"/>
        </w:rPr>
        <w:t>.</w:t>
      </w:r>
    </w:p>
    <w:p w14:paraId="5CE7E7BF" w14:textId="77777777" w:rsidR="00392541" w:rsidRDefault="00392541" w:rsidP="00392541">
      <w:pPr>
        <w:pStyle w:val="BodyText"/>
      </w:pPr>
    </w:p>
    <w:p w14:paraId="47B26486" w14:textId="6C4BE507" w:rsidR="00392541" w:rsidRDefault="002963EC" w:rsidP="00392541">
      <w:pPr>
        <w:pStyle w:val="BodyText"/>
      </w:pPr>
      <w:r>
        <w:t>By using</w:t>
      </w:r>
      <w:r w:rsidR="00392541">
        <w:t xml:space="preserve"> NPP, the prior data is discounted depending on how </w:t>
      </w:r>
      <w:r w:rsidRPr="002963EC">
        <w:t>commensurate the prior data is with the current data being considered</w:t>
      </w:r>
      <w:r w:rsidR="00392541">
        <w:t xml:space="preserve">. This method allows us to mathematically model our understanding of a system based on multiple referents which have differing levels of referent authority. </w:t>
      </w:r>
      <w:r w:rsidR="00392541">
        <w:rPr>
          <w:rFonts w:eastAsiaTheme="minorEastAsia"/>
        </w:rPr>
        <w:t xml:space="preserve">In our approach, the referent with the highest referent authority according to </w:t>
      </w:r>
      <w:r w:rsidR="00754A66" w:rsidRPr="00754A66">
        <w:rPr>
          <w:rFonts w:eastAsiaTheme="minorEastAsia"/>
        </w:rPr>
        <w:fldChar w:fldCharType="begin"/>
      </w:r>
      <w:r w:rsidR="00754A66" w:rsidRPr="00754A66">
        <w:rPr>
          <w:rFonts w:eastAsiaTheme="minorEastAsia"/>
        </w:rPr>
        <w:instrText xml:space="preserve"> REF _Ref111627285 \h  \* MERGEFORMAT </w:instrText>
      </w:r>
      <w:r w:rsidR="00754A66" w:rsidRPr="00754A66">
        <w:rPr>
          <w:rFonts w:eastAsiaTheme="minorEastAsia"/>
        </w:rPr>
      </w:r>
      <w:r w:rsidR="00754A66" w:rsidRPr="00754A66">
        <w:rPr>
          <w:rFonts w:eastAsiaTheme="minorEastAsia"/>
        </w:rPr>
        <w:fldChar w:fldCharType="separate"/>
      </w:r>
      <w:r w:rsidR="00754A66" w:rsidRPr="00754A66">
        <w:rPr>
          <w:color w:val="auto"/>
          <w:szCs w:val="22"/>
        </w:rPr>
        <w:t xml:space="preserve">Table </w:t>
      </w:r>
      <w:r w:rsidR="00754A66" w:rsidRPr="00754A66">
        <w:rPr>
          <w:noProof/>
          <w:color w:val="auto"/>
          <w:szCs w:val="22"/>
        </w:rPr>
        <w:t>1</w:t>
      </w:r>
      <w:r w:rsidR="00754A66" w:rsidRPr="00754A66">
        <w:rPr>
          <w:rFonts w:eastAsiaTheme="minorEastAsia"/>
        </w:rPr>
        <w:fldChar w:fldCharType="end"/>
      </w:r>
      <w:r w:rsidR="00754A66">
        <w:rPr>
          <w:rFonts w:eastAsiaTheme="minorEastAsia"/>
        </w:rPr>
        <w:t xml:space="preserve"> </w:t>
      </w:r>
      <w:r w:rsidR="00392541">
        <w:t>provides a baseline for how we expect the system to behave</w:t>
      </w:r>
      <w:r w:rsidR="00324ECE">
        <w:t xml:space="preserve"> and acts as the “current” data</w:t>
      </w:r>
      <w:r w:rsidR="00392541">
        <w:rPr>
          <w:rFonts w:eastAsiaTheme="minorEastAsia"/>
        </w:rPr>
        <w:t>. All other lower-level referents are weighted according to their agreement with the highest</w:t>
      </w:r>
      <w:r w:rsidR="00AA23D7">
        <w:rPr>
          <w:rFonts w:eastAsiaTheme="minorEastAsia"/>
        </w:rPr>
        <w:t>-</w:t>
      </w:r>
      <w:r w:rsidR="00392541">
        <w:rPr>
          <w:rFonts w:eastAsiaTheme="minorEastAsia"/>
        </w:rPr>
        <w:t>level referent, as quantified by</w:t>
      </w:r>
      <w:r w:rsidR="00661795">
        <w:rPr>
          <w:rFonts w:eastAsiaTheme="minorEastAsia"/>
        </w:rPr>
        <w:t xml:space="preserve"> </w:t>
      </w:r>
      <m:oMath>
        <m:r>
          <w:rPr>
            <w:rFonts w:ascii="Cambria Math" w:eastAsiaTheme="minorEastAsia" w:hAnsi="Cambria Math"/>
          </w:rPr>
          <m:t>τ</m:t>
        </m:r>
      </m:oMath>
      <w:r w:rsidR="00392541" w:rsidRPr="00EF0B07">
        <w:rPr>
          <w:rFonts w:eastAsiaTheme="minorEastAsia"/>
        </w:rPr>
        <w:t>, ranging from 0 to 1</w:t>
      </w:r>
      <w:r w:rsidR="00392541">
        <w:rPr>
          <w:rFonts w:eastAsiaTheme="minorEastAsia"/>
        </w:rPr>
        <w:t>. The more agreement that is seen between referents, the more weight or trust is given to them. If there are multiple referents that share the highest referent level, the user must determine which referent is more trusted</w:t>
      </w:r>
      <w:r>
        <w:rPr>
          <w:rFonts w:eastAsiaTheme="minorEastAsia"/>
        </w:rPr>
        <w:t>, or pool the data to be considered as a single referent</w:t>
      </w:r>
      <w:r w:rsidR="00392541">
        <w:rPr>
          <w:rFonts w:eastAsiaTheme="minorEastAsia"/>
        </w:rPr>
        <w:t>. If no determination is made, the method defaults to using the referent with the most data.</w:t>
      </w:r>
    </w:p>
    <w:p w14:paraId="21C7563A" w14:textId="77777777" w:rsidR="00392541" w:rsidRDefault="00392541" w:rsidP="00392541">
      <w:pPr>
        <w:pStyle w:val="BodyText"/>
      </w:pPr>
    </w:p>
    <w:p w14:paraId="7743B7F9" w14:textId="6C06E3F3" w:rsidR="00392541" w:rsidRDefault="00392541" w:rsidP="00392541">
      <w:pPr>
        <w:pStyle w:val="BodyText"/>
        <w:rPr>
          <w:rFonts w:eastAsiaTheme="minorEastAsia"/>
        </w:rPr>
      </w:pPr>
      <w:r>
        <w:rPr>
          <w:rFonts w:eastAsiaTheme="minorEastAsia"/>
        </w:rPr>
        <w:t xml:space="preserve">The NPP method, including how </w:t>
      </w:r>
      <w:r w:rsidR="00F60F92" w:rsidRPr="00DE3C84">
        <w:rPr>
          <w:rFonts w:ascii="Cambria Math" w:eastAsiaTheme="minorEastAsia" w:hAnsi="Cambria Math"/>
          <w:i/>
        </w:rPr>
        <w:t>𝜏</w:t>
      </w:r>
      <w:r>
        <w:rPr>
          <w:rFonts w:eastAsiaTheme="minorEastAsia"/>
        </w:rPr>
        <w:t xml:space="preserve"> </w:t>
      </w:r>
      <w:r w:rsidR="00F60F92">
        <w:rPr>
          <w:rFonts w:eastAsiaTheme="minorEastAsia"/>
        </w:rPr>
        <w:t xml:space="preserve"> </w:t>
      </w:r>
      <w:r>
        <w:rPr>
          <w:rFonts w:eastAsiaTheme="minorEastAsia"/>
        </w:rPr>
        <w:t>is determined, is further described in Ye et al. (</w:t>
      </w:r>
      <w:r w:rsidRPr="00F30C80">
        <w:rPr>
          <w:rFonts w:eastAsiaTheme="minorEastAsia"/>
          <w:color w:val="auto"/>
        </w:rPr>
        <w:t>2019</w:t>
      </w:r>
      <w:r>
        <w:rPr>
          <w:rFonts w:eastAsiaTheme="minorEastAsia"/>
        </w:rPr>
        <w:t>).</w:t>
      </w:r>
    </w:p>
    <w:p w14:paraId="7BF5C18A" w14:textId="77777777" w:rsidR="00392541" w:rsidRDefault="00392541" w:rsidP="00392541">
      <w:pPr>
        <w:pStyle w:val="BodyText"/>
        <w:rPr>
          <w:rFonts w:eastAsiaTheme="minorEastAsia"/>
        </w:rPr>
      </w:pPr>
    </w:p>
    <w:p w14:paraId="1E0ED587" w14:textId="27827EC1" w:rsidR="00392541" w:rsidRPr="001F0D57" w:rsidRDefault="002963EC" w:rsidP="00392541">
      <w:pPr>
        <w:pStyle w:val="BodyText"/>
        <w:rPr>
          <w:rFonts w:eastAsiaTheme="minorEastAsia"/>
        </w:rPr>
      </w:pPr>
      <w:r w:rsidRPr="002963EC">
        <w:rPr>
          <w:rFonts w:eastAsiaTheme="minorEastAsia"/>
        </w:rPr>
        <w:t xml:space="preserve">Equation 2.4 gives the posterior distribution, </w:t>
      </w:r>
      <w:r w:rsidR="008C7013">
        <w:rPr>
          <w:rFonts w:eastAsiaTheme="minorEastAsia"/>
        </w:rPr>
        <w:t xml:space="preserve">now </w:t>
      </w:r>
      <w:r w:rsidRPr="002963EC">
        <w:rPr>
          <w:rFonts w:eastAsiaTheme="minorEastAsia"/>
        </w:rPr>
        <w:t>incorpor</w:t>
      </w:r>
      <w:r w:rsidR="008C7013">
        <w:rPr>
          <w:rFonts w:eastAsiaTheme="minorEastAsia"/>
        </w:rPr>
        <w:t>ating</w:t>
      </w:r>
      <w:r w:rsidRPr="002963EC">
        <w:rPr>
          <w:rFonts w:eastAsiaTheme="minorEastAsia"/>
        </w:rPr>
        <w:t xml:space="preserve"> the general form of NPP (the product </w:t>
      </w:r>
      <w:r>
        <w:rPr>
          <w:rFonts w:eastAsiaTheme="minorEastAsia"/>
        </w:rPr>
        <w:t xml:space="preserve">term) </w:t>
      </w:r>
      <w:r w:rsidR="008C7013">
        <w:rPr>
          <w:rFonts w:eastAsiaTheme="minorEastAsia"/>
        </w:rPr>
        <w:t>and</w:t>
      </w:r>
      <w:r>
        <w:rPr>
          <w:rFonts w:eastAsiaTheme="minorEastAsia"/>
        </w:rPr>
        <w:t xml:space="preserve"> depend</w:t>
      </w:r>
      <w:r w:rsidR="008C7013">
        <w:rPr>
          <w:rFonts w:eastAsiaTheme="minorEastAsia"/>
        </w:rPr>
        <w:t>ing</w:t>
      </w:r>
      <w:r>
        <w:rPr>
          <w:rFonts w:eastAsiaTheme="minorEastAsia"/>
        </w:rPr>
        <w:t xml:space="preserve"> on</w:t>
      </w:r>
      <w:r w:rsidR="00392541">
        <w:rPr>
          <w:rFonts w:eastAsiaTheme="minorEastAsia"/>
        </w:rPr>
        <w:t xml:space="preserve"> all available data: the most authoritative referent, </w:t>
      </w:r>
      <m:oMath>
        <m:sSub>
          <m:sSubPr>
            <m:ctrlPr>
              <w:rPr>
                <w:rFonts w:ascii="Cambria Math" w:hAnsi="Cambria Math"/>
                <w:i/>
                <w:iCs/>
              </w:rPr>
            </m:ctrlPr>
          </m:sSubPr>
          <m:e>
            <m:r>
              <w:rPr>
                <w:rFonts w:ascii="Cambria Math" w:hAnsi="Cambria Math"/>
              </w:rPr>
              <m:t>y</m:t>
            </m:r>
          </m:e>
          <m:sub>
            <m:r>
              <w:rPr>
                <w:rFonts w:ascii="Cambria Math" w:hAnsi="Cambria Math"/>
              </w:rPr>
              <m:t>c</m:t>
            </m:r>
          </m:sub>
        </m:sSub>
      </m:oMath>
      <w:r w:rsidR="00392541">
        <w:rPr>
          <w:rFonts w:eastAsiaTheme="minorEastAsia"/>
          <w:iCs/>
        </w:rPr>
        <w:t xml:space="preserve">, and all </w:t>
      </w:r>
      <m:oMath>
        <m:r>
          <w:rPr>
            <w:rFonts w:ascii="Cambria Math" w:eastAsiaTheme="minorEastAsia" w:hAnsi="Cambria Math"/>
          </w:rPr>
          <m:t>n</m:t>
        </m:r>
      </m:oMath>
      <w:r w:rsidR="00392541">
        <w:rPr>
          <w:rFonts w:eastAsiaTheme="minorEastAsia"/>
          <w:iCs/>
        </w:rPr>
        <w:t xml:space="preserve"> </w:t>
      </w:r>
      <w:r w:rsidR="00AA23D7">
        <w:rPr>
          <w:rFonts w:eastAsiaTheme="minorEastAsia"/>
          <w:iCs/>
        </w:rPr>
        <w:lastRenderedPageBreak/>
        <w:t>lower-level</w:t>
      </w:r>
      <w:r w:rsidR="00392541">
        <w:rPr>
          <w:rFonts w:eastAsiaTheme="minorEastAsia"/>
          <w:iCs/>
        </w:rPr>
        <w:t xml:space="preserve"> referents, </w:t>
      </w:r>
      <m:oMath>
        <m:sSub>
          <m:sSubPr>
            <m:ctrlPr>
              <w:rPr>
                <w:rFonts w:ascii="Cambria Math" w:hAnsi="Cambria Math"/>
                <w:i/>
                <w:iCs/>
              </w:rPr>
            </m:ctrlPr>
          </m:sSubPr>
          <m:e>
            <m:r>
              <w:rPr>
                <w:rFonts w:ascii="Cambria Math" w:hAnsi="Cambria Math"/>
              </w:rPr>
              <m:t>y</m:t>
            </m:r>
          </m:e>
          <m:sub>
            <m:r>
              <w:rPr>
                <w:rFonts w:ascii="Cambria Math" w:hAnsi="Cambria Math"/>
              </w:rPr>
              <m:t>h1</m:t>
            </m:r>
          </m:sub>
        </m:sSub>
        <m:r>
          <w:rPr>
            <w:rFonts w:ascii="Cambria Math" w:hAnsi="Cambria Math"/>
          </w:rPr>
          <m:t>, …,</m:t>
        </m:r>
        <m:sSub>
          <m:sSubPr>
            <m:ctrlPr>
              <w:rPr>
                <w:rFonts w:ascii="Cambria Math" w:hAnsi="Cambria Math"/>
                <w:i/>
                <w:iCs/>
              </w:rPr>
            </m:ctrlPr>
          </m:sSubPr>
          <m:e>
            <m:r>
              <w:rPr>
                <w:rFonts w:ascii="Cambria Math" w:hAnsi="Cambria Math"/>
              </w:rPr>
              <m:t>y</m:t>
            </m:r>
          </m:e>
          <m:sub>
            <m:r>
              <w:rPr>
                <w:rFonts w:ascii="Cambria Math" w:hAnsi="Cambria Math"/>
              </w:rPr>
              <m:t>hn</m:t>
            </m:r>
          </m:sub>
        </m:sSub>
      </m:oMath>
      <w:r w:rsidR="00392541">
        <w:rPr>
          <w:rFonts w:eastAsiaTheme="minorEastAsia"/>
          <w:iCs/>
        </w:rPr>
        <w:t>,</w:t>
      </w:r>
      <w:r w:rsidR="00392541">
        <w:rPr>
          <w:rFonts w:eastAsiaTheme="minorEastAsia"/>
        </w:rPr>
        <w:t xml:space="preserve"> each with their own weight, </w:t>
      </w:r>
      <m:oMath>
        <m:sSub>
          <m:sSubPr>
            <m:ctrlPr>
              <w:rPr>
                <w:rFonts w:ascii="Cambria Math" w:eastAsiaTheme="minorEastAsia" w:hAnsi="Cambria Math"/>
              </w:rPr>
            </m:ctrlPr>
          </m:sSubPr>
          <m:e>
            <m:r>
              <w:rPr>
                <w:rFonts w:ascii="Cambria Math" w:eastAsiaTheme="minorEastAsia" w:hAnsi="Cambria Math"/>
              </w:rPr>
              <m:t>τ</m:t>
            </m:r>
            <m:ctrlPr>
              <w:rPr>
                <w:rFonts w:ascii="Cambria Math" w:eastAsiaTheme="minorEastAsia" w:hAnsi="Cambria Math"/>
                <w:i/>
                <w:iCs/>
              </w:rPr>
            </m:ctrlPr>
          </m:e>
          <m:sub>
            <m:r>
              <w:rPr>
                <w:rFonts w:ascii="Cambria Math" w:eastAsiaTheme="minorEastAsia" w:hAnsi="Cambria Math"/>
              </w:rPr>
              <m:t>i</m:t>
            </m:r>
          </m:sub>
        </m:sSub>
      </m:oMath>
      <w:r w:rsidR="00392541">
        <w:rPr>
          <w:rFonts w:eastAsiaTheme="minorEastAsia"/>
        </w:rPr>
        <w:t xml:space="preserve">, where </w:t>
      </w:r>
      <m:oMath>
        <m:r>
          <w:rPr>
            <w:rFonts w:ascii="Cambria Math" w:eastAsiaTheme="minorEastAsia" w:hAnsi="Cambria Math"/>
          </w:rPr>
          <m:t>i=1…n</m:t>
        </m:r>
      </m:oMath>
      <w:r w:rsidR="00392541">
        <w:rPr>
          <w:rFonts w:eastAsiaTheme="minorEastAsia"/>
        </w:rPr>
        <w:t xml:space="preserve">. The fidelity inputs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Theme="minorEastAsia" w:hAnsi="Cambria Math"/>
                  </w:rPr>
                  <m:t>x</m:t>
                </m:r>
              </m:e>
            </m:acc>
          </m:e>
          <m:sub>
            <m:r>
              <w:rPr>
                <w:rFonts w:ascii="Cambria Math" w:eastAsiaTheme="minorEastAsia" w:hAnsi="Cambria Math"/>
              </w:rPr>
              <m:t>r</m:t>
            </m:r>
          </m:sub>
        </m:sSub>
      </m:oMath>
      <w:r w:rsidR="00392541" w:rsidRPr="001F0D57">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r>
          <w:rPr>
            <w:rFonts w:ascii="Cambria Math" w:eastAsiaTheme="minorEastAsia" w:hAnsi="Cambria Math"/>
          </w:rPr>
          <m:t xml:space="preserve"> </m:t>
        </m:r>
      </m:oMath>
      <w:r w:rsidR="00392541">
        <w:rPr>
          <w:rFonts w:eastAsiaTheme="minorEastAsia"/>
        </w:rPr>
        <w:t>are</w:t>
      </w:r>
      <w:r w:rsidR="00AE6CF1">
        <w:rPr>
          <w:rFonts w:eastAsiaTheme="minorEastAsia"/>
        </w:rPr>
        <w:t xml:space="preserve"> </w:t>
      </w:r>
      <w:r w:rsidR="00392541">
        <w:rPr>
          <w:rFonts w:eastAsiaTheme="minorEastAsia"/>
        </w:rPr>
        <w:t xml:space="preserve">the expected value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μ|</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h</m:t>
                </m:r>
              </m:sub>
            </m:sSub>
          </m:e>
        </m:d>
      </m:oMath>
      <w:r w:rsidR="00392541">
        <w:rPr>
          <w:rFonts w:eastAsiaTheme="minorEastAsia"/>
        </w:rPr>
        <w:t xml:space="preserve"> and</w:t>
      </w:r>
      <w:r w:rsidR="00AE6CF1">
        <w:rPr>
          <w:rFonts w:eastAsiaTheme="minorEastAsia"/>
        </w:rPr>
        <w:t xml:space="preserve"> the square root of the expected value</w:t>
      </w:r>
      <w:r w:rsidR="00392541">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E</m:t>
            </m:r>
            <m:d>
              <m:dPr>
                <m:ctrlPr>
                  <w:rPr>
                    <w:rFonts w:ascii="Cambria Math" w:eastAsiaTheme="minorEastAsia" w:hAnsi="Cambria Math"/>
                    <w:i/>
                  </w:rPr>
                </m:ctrlPr>
              </m:dPr>
              <m:e>
                <m:sSup>
                  <m:sSupPr>
                    <m:ctrlPr>
                      <w:rPr>
                        <w:rFonts w:ascii="Cambria Math" w:hAnsi="Cambria Math"/>
                        <w:i/>
                        <w:iCs/>
                      </w:rPr>
                    </m:ctrlPr>
                  </m:sSupPr>
                  <m:e>
                    <m:r>
                      <w:rPr>
                        <w:rFonts w:ascii="Cambria Math" w:hAnsi="Cambria Math"/>
                      </w:rPr>
                      <m:t>σ</m:t>
                    </m:r>
                  </m:e>
                  <m:sup>
                    <m:r>
                      <w:rPr>
                        <w:rFonts w:ascii="Cambria Math" w:hAnsi="Cambria Math"/>
                      </w:rPr>
                      <m:t>2</m:t>
                    </m:r>
                  </m:sup>
                </m:sSup>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h</m:t>
                    </m:r>
                  </m:sub>
                </m:sSub>
              </m:e>
            </m:d>
          </m:e>
        </m:rad>
      </m:oMath>
      <w:r w:rsidR="00392541">
        <w:rPr>
          <w:rFonts w:eastAsiaTheme="minorEastAsia"/>
        </w:rPr>
        <w:t xml:space="preserve"> of the posterior distribution, </w:t>
      </w:r>
      <m:oMath>
        <m:r>
          <w:rPr>
            <w:rFonts w:ascii="Cambria Math" w:hAnsi="Cambria Math"/>
          </w:rPr>
          <m:t>p</m:t>
        </m:r>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e>
            <m:sSub>
              <m:sSubPr>
                <m:ctrlPr>
                  <w:rPr>
                    <w:rFonts w:ascii="Cambria Math" w:hAnsi="Cambria Math"/>
                    <w:i/>
                    <w:iCs/>
                  </w:rPr>
                </m:ctrlPr>
              </m:sSubPr>
              <m:e>
                <m:r>
                  <w:rPr>
                    <w:rFonts w:ascii="Cambria Math" w:hAnsi="Cambria Math"/>
                  </w:rPr>
                  <m:t>y</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h1</m:t>
                </m:r>
              </m:sub>
            </m:sSub>
            <m:r>
              <w:rPr>
                <w:rFonts w:ascii="Cambria Math" w:hAnsi="Cambria Math"/>
              </w:rPr>
              <m:t>, …,</m:t>
            </m:r>
            <m:sSub>
              <m:sSubPr>
                <m:ctrlPr>
                  <w:rPr>
                    <w:rFonts w:ascii="Cambria Math" w:hAnsi="Cambria Math"/>
                    <w:i/>
                    <w:iCs/>
                  </w:rPr>
                </m:ctrlPr>
              </m:sSubPr>
              <m:e>
                <m:r>
                  <w:rPr>
                    <w:rFonts w:ascii="Cambria Math" w:hAnsi="Cambria Math"/>
                  </w:rPr>
                  <m:t>y</m:t>
                </m:r>
              </m:e>
              <m:sub>
                <m:r>
                  <w:rPr>
                    <w:rFonts w:ascii="Cambria Math" w:hAnsi="Cambria Math"/>
                  </w:rPr>
                  <m:t>hn</m:t>
                </m:r>
              </m:sub>
            </m:sSub>
          </m:e>
        </m:d>
      </m:oMath>
      <w:r w:rsidR="00392541">
        <w:rPr>
          <w:rFonts w:eastAsiaTheme="minorEastAsia"/>
          <w:iCs/>
        </w:rPr>
        <w:t>, in</w:t>
      </w:r>
      <w:r w:rsidR="00392541">
        <w:rPr>
          <w:rFonts w:eastAsiaTheme="minorEastAsia"/>
        </w:rPr>
        <w:t xml:space="preserve"> Equation 2.4</w:t>
      </w:r>
      <w:r w:rsidR="00447AFF">
        <w:rPr>
          <w:rFonts w:eastAsiaTheme="minorEastAsia"/>
        </w:rPr>
        <w:t xml:space="preserve"> (Ye</w:t>
      </w:r>
      <w:r w:rsidR="00754A66">
        <w:rPr>
          <w:rFonts w:eastAsiaTheme="minorEastAsia"/>
        </w:rPr>
        <w:t>,</w:t>
      </w:r>
      <w:r w:rsidR="00447AFF">
        <w:rPr>
          <w:rFonts w:eastAsiaTheme="minorEastAsia"/>
        </w:rPr>
        <w:t xml:space="preserve"> 2019)</w:t>
      </w:r>
      <w:r w:rsidR="00392541">
        <w:rPr>
          <w:rFonts w:eastAsiaTheme="minorEastAsia"/>
        </w:rPr>
        <w:t>.</w:t>
      </w:r>
    </w:p>
    <w:p w14:paraId="3A226267" w14:textId="77777777" w:rsidR="00392541" w:rsidRDefault="00392541" w:rsidP="00392541">
      <w:pPr>
        <w:pStyle w:val="BodyText"/>
      </w:pPr>
    </w:p>
    <w:p w14:paraId="5425D266" w14:textId="0D3E998B" w:rsidR="00392541" w:rsidRPr="000B18FC" w:rsidRDefault="00DF4283" w:rsidP="00EB0429">
      <w:pPr>
        <w:pStyle w:val="BodyText"/>
        <w:tabs>
          <w:tab w:val="center" w:pos="4680"/>
          <w:tab w:val="right" w:pos="9360"/>
        </w:tabs>
      </w:pPr>
      <w:r>
        <w:rPr>
          <w:rFonts w:eastAsiaTheme="minorEastAsia"/>
        </w:rPr>
        <w:tab/>
      </w:r>
      <m:oMath>
        <m:r>
          <w:rPr>
            <w:rFonts w:ascii="Cambria Math" w:hAnsi="Cambria Math"/>
          </w:rPr>
          <m:t>p</m:t>
        </m:r>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e>
            <m:sSub>
              <m:sSubPr>
                <m:ctrlPr>
                  <w:rPr>
                    <w:rFonts w:ascii="Cambria Math" w:hAnsi="Cambria Math"/>
                    <w:i/>
                    <w:iCs/>
                  </w:rPr>
                </m:ctrlPr>
              </m:sSubPr>
              <m:e>
                <m:r>
                  <w:rPr>
                    <w:rFonts w:ascii="Cambria Math" w:hAnsi="Cambria Math"/>
                  </w:rPr>
                  <m:t>y</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h1</m:t>
                </m:r>
              </m:sub>
            </m:sSub>
            <m:r>
              <w:rPr>
                <w:rFonts w:ascii="Cambria Math" w:hAnsi="Cambria Math"/>
              </w:rPr>
              <m:t>, …,</m:t>
            </m:r>
            <m:sSub>
              <m:sSubPr>
                <m:ctrlPr>
                  <w:rPr>
                    <w:rFonts w:ascii="Cambria Math" w:hAnsi="Cambria Math"/>
                    <w:i/>
                    <w:iCs/>
                  </w:rPr>
                </m:ctrlPr>
              </m:sSubPr>
              <m:e>
                <m:r>
                  <w:rPr>
                    <w:rFonts w:ascii="Cambria Math" w:hAnsi="Cambria Math"/>
                  </w:rPr>
                  <m:t>y</m:t>
                </m:r>
              </m:e>
              <m:sub>
                <m:r>
                  <w:rPr>
                    <w:rFonts w:ascii="Cambria Math" w:hAnsi="Cambria Math"/>
                  </w:rPr>
                  <m:t>hn</m:t>
                </m:r>
              </m:sub>
            </m:sSub>
          </m:e>
        </m:d>
        <m:r>
          <w:rPr>
            <w:rFonts w:ascii="Cambria Math" w:hAnsi="Cambria Math"/>
          </w:rPr>
          <m:t>=L</m:t>
        </m:r>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e>
            <m:sSub>
              <m:sSubPr>
                <m:ctrlPr>
                  <w:rPr>
                    <w:rFonts w:ascii="Cambria Math" w:hAnsi="Cambria Math"/>
                    <w:i/>
                    <w:iCs/>
                  </w:rPr>
                </m:ctrlPr>
              </m:sSubPr>
              <m:e>
                <m:r>
                  <w:rPr>
                    <w:rFonts w:ascii="Cambria Math" w:hAnsi="Cambria Math"/>
                  </w:rPr>
                  <m:t>y</m:t>
                </m:r>
              </m:e>
              <m:sub>
                <m:r>
                  <w:rPr>
                    <w:rFonts w:ascii="Cambria Math" w:hAnsi="Cambria Math"/>
                  </w:rPr>
                  <m:t>c</m:t>
                </m:r>
              </m:sub>
            </m:sSub>
          </m:e>
        </m:d>
        <m:nary>
          <m:naryPr>
            <m:chr m:val="∏"/>
            <m:ctrlPr>
              <w:rPr>
                <w:rFonts w:ascii="Cambria Math" w:hAnsi="Cambria Math"/>
                <w:i/>
                <w:iCs/>
              </w:rPr>
            </m:ctrlPr>
          </m:naryPr>
          <m:sub>
            <m:r>
              <w:rPr>
                <w:rFonts w:ascii="Cambria Math" w:hAnsi="Cambria Math"/>
              </w:rPr>
              <m:t>i=1</m:t>
            </m:r>
          </m:sub>
          <m:sup>
            <m:r>
              <w:rPr>
                <w:rFonts w:ascii="Cambria Math" w:hAnsi="Cambria Math"/>
              </w:rPr>
              <m:t>n</m:t>
            </m:r>
          </m:sup>
          <m:e>
            <m:d>
              <m:dPr>
                <m:begChr m:val="["/>
                <m:endChr m:val="]"/>
                <m:ctrlPr>
                  <w:rPr>
                    <w:rFonts w:ascii="Cambria Math" w:hAnsi="Cambria Math"/>
                    <w:i/>
                    <w:iCs/>
                  </w:rPr>
                </m:ctrlPr>
              </m:dPr>
              <m:e>
                <m:f>
                  <m:fPr>
                    <m:ctrlPr>
                      <w:rPr>
                        <w:rFonts w:ascii="Cambria Math" w:hAnsi="Cambria Math"/>
                        <w:i/>
                        <w:iCs/>
                      </w:rPr>
                    </m:ctrlPr>
                  </m:fPr>
                  <m:num>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L</m:t>
                            </m:r>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e>
                                <m:sSub>
                                  <m:sSubPr>
                                    <m:ctrlPr>
                                      <w:rPr>
                                        <w:rFonts w:ascii="Cambria Math" w:hAnsi="Cambria Math"/>
                                        <w:i/>
                                        <w:iCs/>
                                      </w:rPr>
                                    </m:ctrlPr>
                                  </m:sSubPr>
                                  <m:e>
                                    <m:r>
                                      <w:rPr>
                                        <w:rFonts w:ascii="Cambria Math" w:hAnsi="Cambria Math"/>
                                      </w:rPr>
                                      <m:t>y</m:t>
                                    </m:r>
                                  </m:e>
                                  <m:sub>
                                    <m:r>
                                      <w:rPr>
                                        <w:rFonts w:ascii="Cambria Math" w:hAnsi="Cambria Math"/>
                                      </w:rPr>
                                      <m:t>hi</m:t>
                                    </m:r>
                                  </m:sub>
                                </m:sSub>
                              </m:e>
                            </m:d>
                          </m:e>
                        </m:d>
                      </m:e>
                      <m:sup>
                        <m:sSub>
                          <m:sSubPr>
                            <m:ctrlPr>
                              <w:rPr>
                                <w:rFonts w:ascii="Cambria Math" w:hAnsi="Cambria Math"/>
                                <w:i/>
                                <w:iCs/>
                              </w:rPr>
                            </m:ctrlPr>
                          </m:sSubPr>
                          <m:e>
                            <m:r>
                              <w:rPr>
                                <w:rFonts w:ascii="Cambria Math" w:eastAsiaTheme="minorEastAsia" w:hAnsi="Cambria Math"/>
                              </w:rPr>
                              <m:t>τ</m:t>
                            </m:r>
                          </m:e>
                          <m:sub>
                            <m:r>
                              <w:rPr>
                                <w:rFonts w:ascii="Cambria Math" w:hAnsi="Cambria Math"/>
                              </w:rPr>
                              <m:t>i</m:t>
                            </m:r>
                          </m:sub>
                        </m:sSub>
                      </m:sup>
                    </m:sSup>
                    <m:sSub>
                      <m:sSubPr>
                        <m:ctrlPr>
                          <w:rPr>
                            <w:rFonts w:ascii="Cambria Math" w:hAnsi="Cambria Math"/>
                            <w:i/>
                            <w:iCs/>
                          </w:rPr>
                        </m:ctrlPr>
                      </m:sSubPr>
                      <m:e>
                        <m:r>
                          <w:rPr>
                            <w:rFonts w:ascii="Cambria Math" w:hAnsi="Cambria Math"/>
                          </w:rPr>
                          <m:t>p</m:t>
                        </m:r>
                      </m:e>
                      <m:sub>
                        <m:r>
                          <w:rPr>
                            <w:rFonts w:ascii="Cambria Math" w:hAnsi="Cambria Math"/>
                          </w:rPr>
                          <m:t>0</m:t>
                        </m:r>
                      </m:sub>
                    </m:sSub>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d>
                    <m:sSub>
                      <m:sSubPr>
                        <m:ctrlPr>
                          <w:rPr>
                            <w:rFonts w:ascii="Cambria Math" w:hAnsi="Cambria Math"/>
                            <w:i/>
                            <w:iCs/>
                          </w:rPr>
                        </m:ctrlPr>
                      </m:sSubPr>
                      <m:e>
                        <m:r>
                          <w:rPr>
                            <w:rFonts w:ascii="Cambria Math" w:hAnsi="Cambria Math"/>
                          </w:rPr>
                          <m:t>p</m:t>
                        </m:r>
                      </m:e>
                      <m:sub>
                        <m:r>
                          <w:rPr>
                            <w:rFonts w:ascii="Cambria Math" w:hAnsi="Cambria Math"/>
                          </w:rPr>
                          <m:t>0</m:t>
                        </m:r>
                      </m:sub>
                    </m:sSub>
                    <m:d>
                      <m:dPr>
                        <m:ctrlPr>
                          <w:rPr>
                            <w:rFonts w:ascii="Cambria Math" w:hAnsi="Cambria Math"/>
                            <w:i/>
                            <w:iCs/>
                          </w:rPr>
                        </m:ctrlPr>
                      </m:dPr>
                      <m:e>
                        <m:sSub>
                          <m:sSubPr>
                            <m:ctrlPr>
                              <w:rPr>
                                <w:rFonts w:ascii="Cambria Math" w:hAnsi="Cambria Math"/>
                                <w:i/>
                                <w:iCs/>
                              </w:rPr>
                            </m:ctrlPr>
                          </m:sSubPr>
                          <m:e>
                            <m:r>
                              <w:rPr>
                                <w:rFonts w:ascii="Cambria Math" w:eastAsiaTheme="minorEastAsia" w:hAnsi="Cambria Math"/>
                              </w:rPr>
                              <m:t>τ</m:t>
                            </m:r>
                          </m:e>
                          <m:sub>
                            <m:r>
                              <w:rPr>
                                <w:rFonts w:ascii="Cambria Math" w:hAnsi="Cambria Math"/>
                              </w:rPr>
                              <m:t>i</m:t>
                            </m:r>
                          </m:sub>
                        </m:sSub>
                      </m:e>
                    </m:d>
                  </m:num>
                  <m:den>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L</m:t>
                            </m:r>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e>
                                <m:sSub>
                                  <m:sSubPr>
                                    <m:ctrlPr>
                                      <w:rPr>
                                        <w:rFonts w:ascii="Cambria Math" w:hAnsi="Cambria Math"/>
                                        <w:i/>
                                        <w:iCs/>
                                      </w:rPr>
                                    </m:ctrlPr>
                                  </m:sSubPr>
                                  <m:e>
                                    <m:r>
                                      <w:rPr>
                                        <w:rFonts w:ascii="Cambria Math" w:hAnsi="Cambria Math"/>
                                      </w:rPr>
                                      <m:t>y</m:t>
                                    </m:r>
                                  </m:e>
                                  <m:sub>
                                    <m:r>
                                      <w:rPr>
                                        <w:rFonts w:ascii="Cambria Math" w:hAnsi="Cambria Math"/>
                                      </w:rPr>
                                      <m:t>h</m:t>
                                    </m:r>
                                  </m:sub>
                                </m:sSub>
                              </m:e>
                            </m:d>
                          </m:e>
                        </m:d>
                      </m:e>
                      <m:sup>
                        <m:sSub>
                          <m:sSubPr>
                            <m:ctrlPr>
                              <w:rPr>
                                <w:rFonts w:ascii="Cambria Math" w:hAnsi="Cambria Math"/>
                                <w:i/>
                                <w:iCs/>
                              </w:rPr>
                            </m:ctrlPr>
                          </m:sSubPr>
                          <m:e>
                            <m:r>
                              <w:rPr>
                                <w:rFonts w:ascii="Cambria Math" w:eastAsiaTheme="minorEastAsia" w:hAnsi="Cambria Math"/>
                              </w:rPr>
                              <m:t>τ</m:t>
                            </m:r>
                          </m:e>
                          <m:sub>
                            <m:r>
                              <w:rPr>
                                <w:rFonts w:ascii="Cambria Math" w:hAnsi="Cambria Math"/>
                              </w:rPr>
                              <m:t>i</m:t>
                            </m:r>
                          </m:sub>
                        </m:sSub>
                      </m:sup>
                    </m:sSup>
                    <m:sSub>
                      <m:sSubPr>
                        <m:ctrlPr>
                          <w:rPr>
                            <w:rFonts w:ascii="Cambria Math" w:hAnsi="Cambria Math"/>
                            <w:i/>
                            <w:iCs/>
                          </w:rPr>
                        </m:ctrlPr>
                      </m:sSubPr>
                      <m:e>
                        <m:r>
                          <w:rPr>
                            <w:rFonts w:ascii="Cambria Math" w:hAnsi="Cambria Math"/>
                          </w:rPr>
                          <m:t>p</m:t>
                        </m:r>
                      </m:e>
                      <m:sub>
                        <m:r>
                          <w:rPr>
                            <w:rFonts w:ascii="Cambria Math" w:hAnsi="Cambria Math"/>
                          </w:rPr>
                          <m:t>0</m:t>
                        </m:r>
                      </m:sub>
                    </m:sSub>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d>
                    <m:r>
                      <w:rPr>
                        <w:rFonts w:ascii="Cambria Math" w:hAnsi="Cambria Math"/>
                      </w:rPr>
                      <m:t>dμd</m:t>
                    </m:r>
                    <m:sSup>
                      <m:sSupPr>
                        <m:ctrlPr>
                          <w:rPr>
                            <w:rFonts w:ascii="Cambria Math" w:hAnsi="Cambria Math"/>
                            <w:i/>
                            <w:iCs/>
                          </w:rPr>
                        </m:ctrlPr>
                      </m:sSupPr>
                      <m:e>
                        <m:r>
                          <w:rPr>
                            <w:rFonts w:ascii="Cambria Math" w:hAnsi="Cambria Math"/>
                          </w:rPr>
                          <m:t>σ</m:t>
                        </m:r>
                      </m:e>
                      <m:sup>
                        <m:r>
                          <w:rPr>
                            <w:rFonts w:ascii="Cambria Math" w:hAnsi="Cambria Math"/>
                          </w:rPr>
                          <m:t>2</m:t>
                        </m:r>
                      </m:sup>
                    </m:sSup>
                  </m:den>
                </m:f>
              </m:e>
            </m:d>
          </m:e>
        </m:nary>
      </m:oMath>
      <w:r>
        <w:rPr>
          <w:rFonts w:eastAsiaTheme="minorEastAsia"/>
          <w:iCs/>
        </w:rPr>
        <w:tab/>
      </w:r>
      <w:r w:rsidR="000B18FC" w:rsidRPr="000B18FC">
        <w:rPr>
          <w:rFonts w:eastAsiaTheme="minorEastAsia"/>
          <w:iCs/>
        </w:rPr>
        <w:t>(2.4)</w:t>
      </w:r>
    </w:p>
    <w:p w14:paraId="4A0569BF" w14:textId="77777777" w:rsidR="00392541" w:rsidRDefault="00392541" w:rsidP="00392541">
      <w:pPr>
        <w:pStyle w:val="BodyText"/>
      </w:pPr>
    </w:p>
    <w:p w14:paraId="4CB6A44B" w14:textId="4F821946" w:rsidR="00392541" w:rsidRDefault="00392541" w:rsidP="00392541">
      <w:pPr>
        <w:pStyle w:val="BodyText"/>
        <w:rPr>
          <w:rFonts w:eastAsiaTheme="minorEastAsia"/>
        </w:rPr>
      </w:pPr>
      <w:r>
        <w:rPr>
          <w:rFonts w:eastAsiaTheme="minorEastAsia"/>
        </w:rPr>
        <w:t xml:space="preserve">Here, </w:t>
      </w:r>
      <m:oMath>
        <m:r>
          <w:rPr>
            <w:rFonts w:ascii="Cambria Math" w:hAnsi="Cambria Math"/>
          </w:rPr>
          <m:t>L</m:t>
        </m:r>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e>
            <m:sSub>
              <m:sSubPr>
                <m:ctrlPr>
                  <w:rPr>
                    <w:rFonts w:ascii="Cambria Math" w:hAnsi="Cambria Math"/>
                    <w:i/>
                    <w:iCs/>
                  </w:rPr>
                </m:ctrlPr>
              </m:sSubPr>
              <m:e>
                <m:r>
                  <w:rPr>
                    <w:rFonts w:ascii="Cambria Math" w:hAnsi="Cambria Math"/>
                  </w:rPr>
                  <m:t>y</m:t>
                </m:r>
              </m:e>
              <m:sub>
                <m:r>
                  <w:rPr>
                    <w:rFonts w:ascii="Cambria Math" w:hAnsi="Cambria Math"/>
                  </w:rPr>
                  <m:t>c</m:t>
                </m:r>
              </m:sub>
            </m:sSub>
          </m:e>
        </m:d>
      </m:oMath>
      <w:r>
        <w:rPr>
          <w:rFonts w:eastAsiaTheme="minorEastAsia"/>
        </w:rPr>
        <w:t xml:space="preserve"> is a likelihood function of the parameters given the </w:t>
      </w:r>
      <w:r w:rsidR="002963EC">
        <w:rPr>
          <w:rFonts w:eastAsiaTheme="minorEastAsia"/>
        </w:rPr>
        <w:t xml:space="preserve">most trusted </w:t>
      </w:r>
      <w:r>
        <w:rPr>
          <w:rFonts w:eastAsiaTheme="minorEastAsia"/>
        </w:rPr>
        <w:t xml:space="preserve">data set </w:t>
      </w:r>
      <m:oMath>
        <m:sSub>
          <m:sSubPr>
            <m:ctrlPr>
              <w:rPr>
                <w:rFonts w:ascii="Cambria Math" w:hAnsi="Cambria Math"/>
                <w:i/>
                <w:iCs/>
              </w:rPr>
            </m:ctrlPr>
          </m:sSubPr>
          <m:e>
            <m:r>
              <w:rPr>
                <w:rFonts w:ascii="Cambria Math" w:hAnsi="Cambria Math"/>
              </w:rPr>
              <m:t>y</m:t>
            </m:r>
          </m:e>
          <m:sub>
            <m:r>
              <w:rPr>
                <w:rFonts w:ascii="Cambria Math" w:hAnsi="Cambria Math"/>
              </w:rPr>
              <m:t>c</m:t>
            </m:r>
          </m:sub>
        </m:sSub>
      </m:oMath>
      <w:r>
        <w:rPr>
          <w:rFonts w:eastAsiaTheme="minorEastAsia"/>
          <w:iCs/>
        </w:rPr>
        <w:t xml:space="preserve">, </w:t>
      </w:r>
      <w:r>
        <w:rPr>
          <w:rFonts w:eastAsiaTheme="minorEastAsia"/>
        </w:rPr>
        <w:t xml:space="preserve">and </w:t>
      </w:r>
      <m:oMath>
        <m:r>
          <w:rPr>
            <w:rFonts w:ascii="Cambria Math" w:hAnsi="Cambria Math"/>
          </w:rPr>
          <m:t>L</m:t>
        </m:r>
        <m:d>
          <m:dPr>
            <m:ctrlPr>
              <w:rPr>
                <w:rFonts w:ascii="Cambria Math" w:hAnsi="Cambria Math"/>
                <w:i/>
                <w:iCs/>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e>
            <m:sSub>
              <m:sSubPr>
                <m:ctrlPr>
                  <w:rPr>
                    <w:rFonts w:ascii="Cambria Math" w:hAnsi="Cambria Math"/>
                    <w:i/>
                    <w:iCs/>
                  </w:rPr>
                </m:ctrlPr>
              </m:sSubPr>
              <m:e>
                <m:r>
                  <w:rPr>
                    <w:rFonts w:ascii="Cambria Math" w:hAnsi="Cambria Math"/>
                  </w:rPr>
                  <m:t>y</m:t>
                </m:r>
              </m:e>
              <m:sub>
                <m:r>
                  <w:rPr>
                    <w:rFonts w:ascii="Cambria Math" w:hAnsi="Cambria Math"/>
                  </w:rPr>
                  <m:t>hi</m:t>
                </m:r>
              </m:sub>
            </m:sSub>
          </m:e>
        </m:d>
      </m:oMath>
      <w:r>
        <w:rPr>
          <w:rFonts w:eastAsiaTheme="minorEastAsia"/>
        </w:rPr>
        <w:t xml:space="preserve"> is a likelihood function of the parameters given a </w:t>
      </w:r>
      <w:r w:rsidR="00AA23D7">
        <w:rPr>
          <w:rFonts w:eastAsiaTheme="minorEastAsia"/>
        </w:rPr>
        <w:t>lower-level</w:t>
      </w:r>
      <w:r>
        <w:rPr>
          <w:rFonts w:eastAsiaTheme="minorEastAsia"/>
        </w:rPr>
        <w:t xml:space="preserve"> referent </w:t>
      </w:r>
      <m:oMath>
        <m:sSub>
          <m:sSubPr>
            <m:ctrlPr>
              <w:rPr>
                <w:rFonts w:ascii="Cambria Math" w:hAnsi="Cambria Math"/>
                <w:i/>
                <w:iCs/>
              </w:rPr>
            </m:ctrlPr>
          </m:sSubPr>
          <m:e>
            <m:r>
              <w:rPr>
                <w:rFonts w:ascii="Cambria Math" w:hAnsi="Cambria Math"/>
              </w:rPr>
              <m:t>y</m:t>
            </m:r>
          </m:e>
          <m:sub>
            <m:r>
              <w:rPr>
                <w:rFonts w:ascii="Cambria Math" w:hAnsi="Cambria Math"/>
              </w:rPr>
              <m:t>hi</m:t>
            </m:r>
          </m:sub>
        </m:sSub>
      </m:oMath>
      <w:r w:rsidR="000162FF">
        <w:rPr>
          <w:rFonts w:eastAsiaTheme="minorEastAsia"/>
        </w:rPr>
        <w:t xml:space="preserve">. </w:t>
      </w:r>
      <w:r w:rsidR="002963EC">
        <w:rPr>
          <w:rFonts w:eastAsiaTheme="minorEastAsia"/>
        </w:rPr>
        <w:t xml:space="preserve">Initial </w:t>
      </w:r>
      <w:r>
        <w:rPr>
          <w:rFonts w:eastAsiaTheme="minorEastAsia"/>
        </w:rPr>
        <w:t>priors,</w:t>
      </w:r>
      <w:r w:rsidR="00911521">
        <w:rPr>
          <w:rFonts w:eastAsiaTheme="minorEastAsia"/>
        </w:rPr>
        <w:t xml:space="preserve"> represented by</w:t>
      </w:r>
      <w:r>
        <w:rPr>
          <w:rFonts w:eastAsiaTheme="minorEastAsia"/>
        </w:rPr>
        <w:t xml:space="preserve"> </w:t>
      </w:r>
      <m:oMath>
        <m:sSub>
          <m:sSubPr>
            <m:ctrlPr>
              <w:rPr>
                <w:rFonts w:ascii="Cambria Math" w:hAnsi="Cambria Math"/>
                <w:i/>
              </w:rPr>
            </m:ctrlPr>
          </m:sSubPr>
          <m:e>
            <m:r>
              <w:rPr>
                <w:rFonts w:ascii="Cambria Math" w:hAnsi="Cambria Math"/>
              </w:rPr>
              <m:t>p</m:t>
            </m:r>
          </m:e>
          <m:sub>
            <m:r>
              <w:rPr>
                <w:rFonts w:ascii="Cambria Math" w:hAnsi="Cambria Math"/>
              </w:rPr>
              <m:t>0</m:t>
            </m:r>
          </m:sub>
        </m:sSub>
        <m:d>
          <m:dPr>
            <m:ctrlPr>
              <w:rPr>
                <w:rFonts w:ascii="Cambria Math" w:hAnsi="Cambria Math"/>
                <w:i/>
              </w:rPr>
            </m:ctrlPr>
          </m:dPr>
          <m:e>
            <m:r>
              <w:rPr>
                <w:rFonts w:ascii="Cambria Math" w:hAnsi="Cambria Math"/>
              </w:rPr>
              <m:t>μ, </m:t>
            </m:r>
            <m:sSup>
              <m:sSupPr>
                <m:ctrlPr>
                  <w:rPr>
                    <w:rFonts w:ascii="Cambria Math" w:hAnsi="Cambria Math"/>
                    <w:i/>
                    <w:iCs/>
                  </w:rPr>
                </m:ctrlPr>
              </m:sSupPr>
              <m:e>
                <m:r>
                  <w:rPr>
                    <w:rFonts w:ascii="Cambria Math" w:hAnsi="Cambria Math"/>
                  </w:rPr>
                  <m:t>σ</m:t>
                </m:r>
              </m:e>
              <m:sup>
                <m:r>
                  <w:rPr>
                    <w:rFonts w:ascii="Cambria Math" w:hAnsi="Cambria Math"/>
                  </w:rPr>
                  <m:t>2</m:t>
                </m:r>
              </m:sup>
            </m:sSup>
          </m:e>
        </m:d>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0</m:t>
            </m:r>
          </m:sub>
        </m:sSub>
        <m:d>
          <m:dPr>
            <m:ctrlPr>
              <w:rPr>
                <w:rFonts w:ascii="Cambria Math" w:hAnsi="Cambria Math"/>
                <w:i/>
              </w:rPr>
            </m:ctrlPr>
          </m:dPr>
          <m:e>
            <m:sSub>
              <m:sSubPr>
                <m:ctrlPr>
                  <w:rPr>
                    <w:rFonts w:ascii="Cambria Math" w:hAnsi="Cambria Math"/>
                    <w:i/>
                    <w:iCs/>
                  </w:rPr>
                </m:ctrlPr>
              </m:sSubPr>
              <m:e>
                <m:r>
                  <w:rPr>
                    <w:rFonts w:ascii="Cambria Math" w:eastAsiaTheme="minorEastAsia" w:hAnsi="Cambria Math"/>
                  </w:rPr>
                  <m:t>τ</m:t>
                </m:r>
              </m:e>
              <m:sub>
                <m:r>
                  <w:rPr>
                    <w:rFonts w:ascii="Cambria Math" w:hAnsi="Cambria Math"/>
                  </w:rPr>
                  <m:t>i</m:t>
                </m:r>
              </m:sub>
            </m:sSub>
          </m:e>
        </m:d>
      </m:oMath>
      <w:r w:rsidR="00911521">
        <w:rPr>
          <w:rFonts w:eastAsiaTheme="minorEastAsia"/>
        </w:rPr>
        <w:t>,</w:t>
      </w:r>
      <w:r>
        <w:rPr>
          <w:rFonts w:eastAsiaTheme="minorEastAsia"/>
        </w:rPr>
        <w:t xml:space="preserve"> are chosen to reflect </w:t>
      </w:r>
      <w:r w:rsidR="002963EC">
        <w:rPr>
          <w:rFonts w:eastAsiaTheme="minorEastAsia"/>
        </w:rPr>
        <w:t xml:space="preserve">all </w:t>
      </w:r>
      <w:r>
        <w:rPr>
          <w:rFonts w:eastAsiaTheme="minorEastAsia"/>
        </w:rPr>
        <w:t xml:space="preserve">possible values of our parameters, and the possible values of </w:t>
      </w:r>
      <m:oMath>
        <m:sSub>
          <m:sSubPr>
            <m:ctrlPr>
              <w:rPr>
                <w:rFonts w:ascii="Cambria Math" w:hAnsi="Cambria Math"/>
                <w:i/>
                <w:iCs/>
              </w:rPr>
            </m:ctrlPr>
          </m:sSubPr>
          <m:e>
            <m:r>
              <w:rPr>
                <w:rFonts w:ascii="Cambria Math" w:hAnsi="Cambria Math"/>
              </w:rPr>
              <m:t>w</m:t>
            </m:r>
          </m:e>
          <m:sub>
            <m:r>
              <w:rPr>
                <w:rFonts w:ascii="Cambria Math" w:hAnsi="Cambria Math"/>
              </w:rPr>
              <m:t>i</m:t>
            </m:r>
          </m:sub>
        </m:sSub>
      </m:oMath>
      <w:r>
        <w:rPr>
          <w:rFonts w:eastAsiaTheme="minorEastAsia"/>
        </w:rPr>
        <w:t>, which ranges from 0 to 1.</w:t>
      </w:r>
      <w:r w:rsidR="000162FF">
        <w:rPr>
          <w:rFonts w:eastAsiaTheme="minorEastAsia"/>
        </w:rPr>
        <w:t xml:space="preserve"> </w:t>
      </w:r>
      <w:r w:rsidR="00AE529B">
        <w:rPr>
          <w:rFonts w:eastAsiaTheme="minorEastAsia"/>
        </w:rPr>
        <w:t xml:space="preserve">These </w:t>
      </w:r>
      <w:r w:rsidR="00BE2EDE">
        <w:rPr>
          <w:rFonts w:eastAsiaTheme="minorEastAsia"/>
        </w:rPr>
        <w:t xml:space="preserve">initial priors are </w:t>
      </w:r>
      <w:r w:rsidR="00AE529B">
        <w:rPr>
          <w:rFonts w:eastAsiaTheme="minorEastAsia"/>
        </w:rPr>
        <w:t xml:space="preserve">uninformative priors </w:t>
      </w:r>
      <w:r w:rsidR="00BE2EDE">
        <w:rPr>
          <w:rFonts w:eastAsiaTheme="minorEastAsia"/>
        </w:rPr>
        <w:t xml:space="preserve">whose </w:t>
      </w:r>
      <w:r w:rsidR="00AE529B">
        <w:rPr>
          <w:rFonts w:eastAsiaTheme="minorEastAsia"/>
        </w:rPr>
        <w:t xml:space="preserve">distributions </w:t>
      </w:r>
      <w:r w:rsidR="002963EC" w:rsidRPr="002963EC">
        <w:rPr>
          <w:rFonts w:eastAsiaTheme="minorEastAsia"/>
        </w:rPr>
        <w:t>reflect no previous information and</w:t>
      </w:r>
      <w:r w:rsidR="002963EC" w:rsidRPr="002963EC" w:rsidDel="002963EC">
        <w:rPr>
          <w:rFonts w:eastAsiaTheme="minorEastAsia"/>
        </w:rPr>
        <w:t xml:space="preserve"> </w:t>
      </w:r>
      <w:r w:rsidR="00AE529B">
        <w:rPr>
          <w:rFonts w:eastAsiaTheme="minorEastAsia"/>
        </w:rPr>
        <w:t>minimally impact the posterior distribution (Zellner</w:t>
      </w:r>
      <w:r w:rsidR="00B5455A">
        <w:rPr>
          <w:rFonts w:eastAsiaTheme="minorEastAsia"/>
        </w:rPr>
        <w:t>,</w:t>
      </w:r>
      <w:r w:rsidR="00AE529B">
        <w:rPr>
          <w:rFonts w:eastAsiaTheme="minorEastAsia"/>
        </w:rPr>
        <w:t xml:space="preserve"> 1971).</w:t>
      </w:r>
    </w:p>
    <w:p w14:paraId="15C9BE45" w14:textId="77777777" w:rsidR="00392541" w:rsidRDefault="00392541" w:rsidP="00392541">
      <w:pPr>
        <w:pStyle w:val="BodyText"/>
      </w:pPr>
    </w:p>
    <w:p w14:paraId="77951B8E" w14:textId="0A76ADF3" w:rsidR="00392541" w:rsidRDefault="00392541" w:rsidP="00392541">
      <w:pPr>
        <w:pStyle w:val="BodyText"/>
        <w:rPr>
          <w:rFonts w:eastAsiaTheme="minorEastAsia"/>
          <w:iCs/>
        </w:rPr>
      </w:pPr>
      <w:r>
        <w:t xml:space="preserve">This </w:t>
      </w:r>
      <w:r w:rsidR="002963EC">
        <w:t xml:space="preserve">paper </w:t>
      </w:r>
      <w:r w:rsidR="00AA23D7">
        <w:t>assumes</w:t>
      </w:r>
      <w:r>
        <w:t xml:space="preserve"> that the </w:t>
      </w:r>
      <w:r w:rsidR="009D0081">
        <w:t xml:space="preserve">random variation of referent data is </w:t>
      </w:r>
      <w:r>
        <w:t xml:space="preserve">normally distributed </w:t>
      </w:r>
      <w:r w:rsidR="00BB46FD">
        <w:t>wi</w:t>
      </w:r>
      <w:r>
        <w:t>t</w:t>
      </w:r>
      <w:r w:rsidR="00BB46FD">
        <w:t>hin a given set of factor inputs</w:t>
      </w:r>
      <w:r>
        <w:t xml:space="preserve">. While this is </w:t>
      </w:r>
      <w:r w:rsidR="00AE6CF1">
        <w:t xml:space="preserve">often not </w:t>
      </w:r>
      <w:r>
        <w:t xml:space="preserve">true, </w:t>
      </w:r>
      <w:r w:rsidR="00763171">
        <w:t xml:space="preserve">the method </w:t>
      </w:r>
      <w:r>
        <w:t xml:space="preserve">will perform well for most cases where the data is continuous and roughly symmetric. It may </w:t>
      </w:r>
      <w:r w:rsidR="00CA569C">
        <w:t xml:space="preserve">also </w:t>
      </w:r>
      <w:r>
        <w:t xml:space="preserve">perform well with non-symmetric </w:t>
      </w:r>
      <w:r w:rsidR="00CA569C">
        <w:t xml:space="preserve">distributions </w:t>
      </w:r>
      <w:r>
        <w:t xml:space="preserve">given sufficient data. Given the </w:t>
      </w:r>
      <w:r w:rsidR="002963EC">
        <w:t xml:space="preserve">assumption </w:t>
      </w:r>
      <w:r>
        <w:t xml:space="preserve">of normal data, we use a normal inverse-gamma </w:t>
      </w:r>
      <w:r w:rsidR="002963EC">
        <w:t xml:space="preserve">prior </w:t>
      </w:r>
      <w:r>
        <w:t>distribution.</w:t>
      </w:r>
      <w:r w:rsidR="00AE529B">
        <w:t xml:space="preserve"> </w:t>
      </w:r>
      <w:r w:rsidR="002963EC">
        <w:t>However, t</w:t>
      </w:r>
      <w:r>
        <w:t xml:space="preserve">his structure is easily modified to account for other data types. For </w:t>
      </w:r>
      <w:r w:rsidR="00674517">
        <w:t>categorical</w:t>
      </w:r>
      <w:r w:rsidR="00AA23D7">
        <w:t>-</w:t>
      </w:r>
      <w:r>
        <w:t>response data or number-of-success measures, we can assume a binomial distribution for data with a beta distribution as a conjugate prior to desc</w:t>
      </w:r>
      <w:r w:rsidR="00B5455A">
        <w:t>ribe our parameters. For highly-</w:t>
      </w:r>
      <w:r>
        <w:t>skewed data such as time-to-failure data, we can assume a Weibull distribution for data with an inverse</w:t>
      </w:r>
      <w:r w:rsidR="00AA23D7">
        <w:t>-</w:t>
      </w:r>
      <w:r>
        <w:t xml:space="preserve">gamma distribution as a conjugate prior. In these alternate cases, the output parameters are probability of success, </w:t>
      </w:r>
      <m:oMath>
        <m:r>
          <w:rPr>
            <w:rFonts w:ascii="Cambria Math" w:hAnsi="Cambria Math"/>
          </w:rPr>
          <m:t>p</m:t>
        </m:r>
      </m:oMath>
      <w:r>
        <w:t xml:space="preserve">, in the binomial case or alpha and beta in the Weibull case. These values </w:t>
      </w:r>
      <w:r w:rsidR="002963EC">
        <w:t xml:space="preserve">would then need to </w:t>
      </w:r>
      <w:r>
        <w:t xml:space="preserve">be converted into </w:t>
      </w:r>
      <m:oMath>
        <m:r>
          <w:rPr>
            <w:rFonts w:ascii="Cambria Math" w:hAnsi="Cambria Math"/>
          </w:rPr>
          <m:t>μ</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Pr>
          <w:rFonts w:eastAsiaTheme="minorEastAsia"/>
        </w:rPr>
        <w:t xml:space="preserve"> according to the</w:t>
      </w:r>
      <w:r>
        <w:t xml:space="preserve"> distribution</w:t>
      </w:r>
      <w:r w:rsidR="00AA23D7">
        <w:t>’</w:t>
      </w:r>
      <w:r>
        <w:t>s properties for the sake of fidelity calculation.</w:t>
      </w:r>
    </w:p>
    <w:p w14:paraId="2E4F0329" w14:textId="77777777" w:rsidR="00392541" w:rsidRDefault="00392541" w:rsidP="00392541">
      <w:pPr>
        <w:pStyle w:val="BodyText"/>
      </w:pPr>
    </w:p>
    <w:p w14:paraId="2838F704" w14:textId="77777777" w:rsidR="00392541" w:rsidRPr="00392541" w:rsidRDefault="00392541" w:rsidP="00392541">
      <w:pPr>
        <w:pStyle w:val="APALevelHeading2"/>
        <w:rPr>
          <w:rFonts w:cs="Arial"/>
          <w:sz w:val="24"/>
          <w:szCs w:val="24"/>
        </w:rPr>
      </w:pPr>
      <w:bookmarkStart w:id="14" w:name="_Toc108514034"/>
      <w:bookmarkStart w:id="15" w:name="_Toc111627597"/>
      <w:r w:rsidRPr="00392541">
        <w:rPr>
          <w:rFonts w:cs="Arial"/>
          <w:sz w:val="24"/>
          <w:szCs w:val="24"/>
        </w:rPr>
        <w:t>Scope</w:t>
      </w:r>
      <w:bookmarkEnd w:id="14"/>
      <w:bookmarkEnd w:id="15"/>
    </w:p>
    <w:p w14:paraId="2C6913FE" w14:textId="77777777" w:rsidR="00392541" w:rsidRDefault="00392541" w:rsidP="00392541">
      <w:pPr>
        <w:pStyle w:val="BodyText"/>
      </w:pPr>
    </w:p>
    <w:p w14:paraId="5630D24F" w14:textId="21A3902A" w:rsidR="00392541" w:rsidRDefault="00392541" w:rsidP="00392541">
      <w:pPr>
        <w:pStyle w:val="BodyText"/>
      </w:pPr>
      <w:r>
        <w:t xml:space="preserve">Scope is </w:t>
      </w:r>
      <w:r w:rsidRPr="0022690F">
        <w:t>the set of model inputs, outputs, assumptions, and limitations representing the mission-relevant system parameters, environmental conditions, constraints, and requirements, and their allowable values.</w:t>
      </w:r>
      <w:r>
        <w:t xml:space="preserve"> For a model of a physical system, this would include operational parameters and states that the system is intended to operate </w:t>
      </w:r>
      <w:r w:rsidR="00810A2C">
        <w:t>under,</w:t>
      </w:r>
      <w:r>
        <w:t xml:space="preserve"> such as</w:t>
      </w:r>
      <w:r w:rsidR="00810A2C">
        <w:t>,</w:t>
      </w:r>
      <w:r>
        <w:t xml:space="preserve"> different speeds or with stealth capabilities active or inactive for a plane. Scope also reflects the intended use by includ</w:t>
      </w:r>
      <w:r w:rsidR="00AA23D7">
        <w:t>ing</w:t>
      </w:r>
      <w:r>
        <w:t xml:space="preserve"> parameters that define the operational environment of the modeled system such as cloud cover, </w:t>
      </w:r>
      <w:r w:rsidR="002963EC">
        <w:t xml:space="preserve">operational </w:t>
      </w:r>
      <w:r>
        <w:t>altitude, or the presence of jamming signals.</w:t>
      </w:r>
      <w:r w:rsidRPr="000816A5">
        <w:t xml:space="preserve"> </w:t>
      </w:r>
      <w:r>
        <w:t>Proper validation of a model requires that fidelity be assessed across the entire scope. There are infinitely many possible input combinations within the scope in the presence of continuous inputs, and as a result it is impossible to directly validate a model everywhere in the operational domain. Instead, we can assess how well covered the scope is by our referents and model.</w:t>
      </w:r>
    </w:p>
    <w:p w14:paraId="2A011524" w14:textId="77777777" w:rsidR="00392541" w:rsidRDefault="00392541" w:rsidP="00392541">
      <w:pPr>
        <w:pStyle w:val="BodyText"/>
      </w:pPr>
    </w:p>
    <w:p w14:paraId="0694C3E6" w14:textId="2DCBAE33" w:rsidR="00392541" w:rsidRDefault="00392541" w:rsidP="00392541">
      <w:pPr>
        <w:pStyle w:val="BodyText"/>
      </w:pPr>
      <w:r>
        <w:t xml:space="preserve">Issues of scope in model validation can often be seen as one of four issues; </w:t>
      </w:r>
      <w:r w:rsidR="00350951">
        <w:t>a</w:t>
      </w:r>
      <w:r w:rsidR="00AA23D7">
        <w:t xml:space="preserve">.) </w:t>
      </w:r>
      <w:r>
        <w:t xml:space="preserve">poorly defined scope, </w:t>
      </w:r>
      <w:r w:rsidR="00350951">
        <w:t>b</w:t>
      </w:r>
      <w:r w:rsidR="00AA23D7">
        <w:t xml:space="preserve">.) </w:t>
      </w:r>
      <w:r>
        <w:t xml:space="preserve">differing fidelity across the scope, </w:t>
      </w:r>
      <w:r w:rsidR="00350951">
        <w:t>c</w:t>
      </w:r>
      <w:r w:rsidR="00AA23D7">
        <w:t xml:space="preserve">.) </w:t>
      </w:r>
      <w:r>
        <w:t xml:space="preserve">referents not extending across the entire scope, and </w:t>
      </w:r>
      <w:r w:rsidR="00350951">
        <w:t>d</w:t>
      </w:r>
      <w:r w:rsidR="00AA23D7">
        <w:t xml:space="preserve">.) </w:t>
      </w:r>
      <w:r>
        <w:t>scope regions supported by sparse information. Properly defining the scope</w:t>
      </w:r>
      <w:r w:rsidR="00DC3C66">
        <w:t>, or mission space,</w:t>
      </w:r>
      <w:r>
        <w:t xml:space="preserve"> of a model is critical to validation. No metric will state if the scope is defined correctly, but an improperly defined scope will often lead to poor validation metrics in the case where the scope covers too much space or irrelevant factors. In addition, poor scope definition can lead to a model validated only for a portion of it</w:t>
      </w:r>
      <w:r w:rsidR="00141DD0">
        <w:t>s</w:t>
      </w:r>
      <w:r>
        <w:t xml:space="preserve"> </w:t>
      </w:r>
      <w:r w:rsidR="00DC3C66">
        <w:t>mission space</w:t>
      </w:r>
      <w:r>
        <w:t xml:space="preserve"> in the case </w:t>
      </w:r>
      <w:r w:rsidR="00141DD0">
        <w:t xml:space="preserve">that </w:t>
      </w:r>
      <w:r>
        <w:t xml:space="preserve">the scope does not </w:t>
      </w:r>
      <w:r>
        <w:lastRenderedPageBreak/>
        <w:t xml:space="preserve">include all important factors. The issues of differing fidelity, unsupported scope regions, or sparsely supported scope regions can be seen in </w:t>
      </w:r>
      <w:r w:rsidR="004F06CD" w:rsidRPr="004F06CD">
        <w:fldChar w:fldCharType="begin"/>
      </w:r>
      <w:r w:rsidR="004F06CD" w:rsidRPr="004F06CD">
        <w:instrText xml:space="preserve"> REF _Ref111627472 \h  \* MERGEFORMAT </w:instrText>
      </w:r>
      <w:r w:rsidR="004F06CD" w:rsidRPr="004F06CD">
        <w:fldChar w:fldCharType="separate"/>
      </w:r>
      <w:r w:rsidR="004F06CD" w:rsidRPr="004F06CD">
        <w:rPr>
          <w:color w:val="auto"/>
          <w:szCs w:val="22"/>
        </w:rPr>
        <w:t xml:space="preserve">Figure </w:t>
      </w:r>
      <w:r w:rsidR="004F06CD" w:rsidRPr="004F06CD">
        <w:rPr>
          <w:noProof/>
          <w:color w:val="auto"/>
          <w:szCs w:val="22"/>
        </w:rPr>
        <w:t>1</w:t>
      </w:r>
      <w:r w:rsidR="004F06CD" w:rsidRPr="004F06CD">
        <w:fldChar w:fldCharType="end"/>
      </w:r>
      <w:r w:rsidRPr="004F06CD">
        <w:t>.</w:t>
      </w:r>
    </w:p>
    <w:p w14:paraId="08B492C0" w14:textId="7FB61BF4" w:rsidR="00F672CC" w:rsidRDefault="00F672CC" w:rsidP="00392541">
      <w:pPr>
        <w:pStyle w:val="BodyText"/>
      </w:pPr>
    </w:p>
    <w:p w14:paraId="0739075C" w14:textId="041C6880" w:rsidR="00392541" w:rsidRDefault="00392541" w:rsidP="00350951">
      <w:pPr>
        <w:pStyle w:val="BodyText"/>
        <w:keepNext/>
        <w:jc w:val="center"/>
      </w:pPr>
      <w:r>
        <w:rPr>
          <w:noProof/>
        </w:rPr>
        <w:drawing>
          <wp:inline distT="0" distB="0" distL="0" distR="0" wp14:anchorId="0FA77FFA" wp14:editId="27E5662D">
            <wp:extent cx="5943600" cy="2830724"/>
            <wp:effectExtent l="0" t="0" r="0" b="0"/>
            <wp:docPr id="8" name="Picture 8">
              <a:extLst xmlns:a="http://schemas.openxmlformats.org/drawingml/2006/main">
                <a:ext uri="{FF2B5EF4-FFF2-40B4-BE49-F238E27FC236}">
                  <a16:creationId xmlns:a16="http://schemas.microsoft.com/office/drawing/2014/main" id="{73442430-73BE-4EAD-B33C-E6E8F31C4BF0}"/>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73442430-73BE-4EAD-B33C-E6E8F31C4BF0}"/>
                        </a:ext>
                      </a:extLst>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830724"/>
                    </a:xfrm>
                    <a:prstGeom prst="rect">
                      <a:avLst/>
                    </a:prstGeom>
                    <a:noFill/>
                  </pic:spPr>
                </pic:pic>
              </a:graphicData>
            </a:graphic>
          </wp:inline>
        </w:drawing>
      </w:r>
    </w:p>
    <w:p w14:paraId="02CBC631" w14:textId="5E0063F6" w:rsidR="00350951" w:rsidRPr="004F06CD" w:rsidRDefault="004F06CD" w:rsidP="004F06CD">
      <w:pPr>
        <w:pStyle w:val="Caption"/>
        <w:jc w:val="center"/>
        <w:rPr>
          <w:rFonts w:ascii="Georgia" w:hAnsi="Georgia"/>
          <w:i w:val="0"/>
          <w:color w:val="auto"/>
          <w:sz w:val="22"/>
          <w:szCs w:val="22"/>
        </w:rPr>
      </w:pPr>
      <w:bookmarkStart w:id="16" w:name="_Ref111627472"/>
      <w:r w:rsidRPr="004F06CD">
        <w:rPr>
          <w:rFonts w:ascii="Georgia" w:hAnsi="Georgia"/>
          <w:b/>
          <w:i w:val="0"/>
          <w:color w:val="auto"/>
          <w:sz w:val="22"/>
          <w:szCs w:val="22"/>
        </w:rPr>
        <w:t xml:space="preserve">Figure </w:t>
      </w:r>
      <w:r w:rsidRPr="004F06CD">
        <w:rPr>
          <w:rFonts w:ascii="Georgia" w:hAnsi="Georgia"/>
          <w:b/>
          <w:i w:val="0"/>
          <w:color w:val="auto"/>
          <w:sz w:val="22"/>
          <w:szCs w:val="22"/>
        </w:rPr>
        <w:fldChar w:fldCharType="begin"/>
      </w:r>
      <w:r w:rsidRPr="004F06CD">
        <w:rPr>
          <w:rFonts w:ascii="Georgia" w:hAnsi="Georgia"/>
          <w:b/>
          <w:i w:val="0"/>
          <w:color w:val="auto"/>
          <w:sz w:val="22"/>
          <w:szCs w:val="22"/>
        </w:rPr>
        <w:instrText xml:space="preserve"> SEQ Figure \* ARABIC </w:instrText>
      </w:r>
      <w:r w:rsidRPr="004F06CD">
        <w:rPr>
          <w:rFonts w:ascii="Georgia" w:hAnsi="Georgia"/>
          <w:b/>
          <w:i w:val="0"/>
          <w:color w:val="auto"/>
          <w:sz w:val="22"/>
          <w:szCs w:val="22"/>
        </w:rPr>
        <w:fldChar w:fldCharType="separate"/>
      </w:r>
      <w:r w:rsidRPr="004F06CD">
        <w:rPr>
          <w:rFonts w:ascii="Georgia" w:hAnsi="Georgia"/>
          <w:b/>
          <w:i w:val="0"/>
          <w:noProof/>
          <w:color w:val="auto"/>
          <w:sz w:val="22"/>
          <w:szCs w:val="22"/>
        </w:rPr>
        <w:t>1</w:t>
      </w:r>
      <w:r w:rsidRPr="004F06CD">
        <w:rPr>
          <w:rFonts w:ascii="Georgia" w:hAnsi="Georgia"/>
          <w:b/>
          <w:i w:val="0"/>
          <w:color w:val="auto"/>
          <w:sz w:val="22"/>
          <w:szCs w:val="22"/>
        </w:rPr>
        <w:fldChar w:fldCharType="end"/>
      </w:r>
      <w:bookmarkEnd w:id="16"/>
      <w:r w:rsidRPr="004F06CD">
        <w:rPr>
          <w:rFonts w:ascii="Georgia" w:hAnsi="Georgia"/>
          <w:i w:val="0"/>
          <w:color w:val="auto"/>
          <w:sz w:val="22"/>
          <w:szCs w:val="22"/>
        </w:rPr>
        <w:br/>
      </w:r>
      <w:r w:rsidR="00350951" w:rsidRPr="004F06CD">
        <w:rPr>
          <w:rFonts w:ascii="Georgia" w:hAnsi="Georgia"/>
          <w:color w:val="auto"/>
          <w:sz w:val="22"/>
          <w:szCs w:val="22"/>
        </w:rPr>
        <w:t>Notional Live Data Coverage of an Operational Space</w:t>
      </w:r>
    </w:p>
    <w:p w14:paraId="2D37CA3C" w14:textId="36DABE31" w:rsidR="00350951" w:rsidRDefault="00350951" w:rsidP="00F672CC">
      <w:pPr>
        <w:pStyle w:val="BodyText"/>
        <w:keepNext/>
      </w:pPr>
    </w:p>
    <w:p w14:paraId="31DC06B3" w14:textId="0329DE2A" w:rsidR="00392541" w:rsidRPr="00EB0429" w:rsidRDefault="00F672CC" w:rsidP="00392541">
      <w:pPr>
        <w:pStyle w:val="BodyText"/>
        <w:rPr>
          <w:rFonts w:ascii="Georgia" w:hAnsi="Georgia"/>
          <w:i/>
        </w:rPr>
      </w:pPr>
      <w:r w:rsidRPr="00EB0429">
        <w:rPr>
          <w:rFonts w:ascii="Georgia" w:hAnsi="Georgia"/>
          <w:i/>
        </w:rPr>
        <w:t xml:space="preserve">Note. </w:t>
      </w:r>
      <w:r w:rsidR="00402B9E">
        <w:rPr>
          <w:rFonts w:ascii="Georgia" w:hAnsi="Georgia"/>
          <w:i/>
        </w:rPr>
        <w:t>Figure</w:t>
      </w:r>
      <w:r w:rsidR="00402B9E" w:rsidRPr="00EB0429">
        <w:rPr>
          <w:rFonts w:ascii="Georgia" w:hAnsi="Georgia"/>
          <w:i/>
        </w:rPr>
        <w:t xml:space="preserve"> </w:t>
      </w:r>
      <w:r w:rsidRPr="00EB0429">
        <w:rPr>
          <w:rFonts w:ascii="Georgia" w:hAnsi="Georgia"/>
          <w:i/>
        </w:rPr>
        <w:t xml:space="preserve">from </w:t>
      </w:r>
      <w:r w:rsidR="00763171">
        <w:rPr>
          <w:rFonts w:ascii="Georgia" w:hAnsi="Georgia"/>
          <w:i/>
        </w:rPr>
        <w:t>(Institute for Defense Analysis, 2019)</w:t>
      </w:r>
    </w:p>
    <w:p w14:paraId="106B11E8" w14:textId="77777777" w:rsidR="00F672CC" w:rsidRDefault="00F672CC" w:rsidP="00392541">
      <w:pPr>
        <w:pStyle w:val="BodyText"/>
      </w:pPr>
    </w:p>
    <w:p w14:paraId="60F9D64B" w14:textId="5A7D9955" w:rsidR="00392541" w:rsidRDefault="00AA23D7" w:rsidP="00392541">
      <w:pPr>
        <w:pStyle w:val="BodyText"/>
      </w:pPr>
      <w:r>
        <w:t xml:space="preserve">In </w:t>
      </w:r>
      <w:r w:rsidR="004F06CD" w:rsidRPr="004F06CD">
        <w:fldChar w:fldCharType="begin"/>
      </w:r>
      <w:r w:rsidR="004F06CD" w:rsidRPr="004F06CD">
        <w:instrText xml:space="preserve"> REF _Ref111627472 \h  \* MERGEFORMAT </w:instrText>
      </w:r>
      <w:r w:rsidR="004F06CD" w:rsidRPr="004F06CD">
        <w:fldChar w:fldCharType="separate"/>
      </w:r>
      <w:r w:rsidR="004F06CD" w:rsidRPr="004F06CD">
        <w:rPr>
          <w:color w:val="auto"/>
          <w:szCs w:val="22"/>
        </w:rPr>
        <w:t xml:space="preserve">Figure </w:t>
      </w:r>
      <w:r w:rsidR="004F06CD" w:rsidRPr="004F06CD">
        <w:rPr>
          <w:noProof/>
          <w:color w:val="auto"/>
          <w:szCs w:val="22"/>
        </w:rPr>
        <w:t>1</w:t>
      </w:r>
      <w:r w:rsidR="004F06CD" w:rsidRPr="004F06CD">
        <w:fldChar w:fldCharType="end"/>
      </w:r>
      <w:r>
        <w:t xml:space="preserve">, </w:t>
      </w:r>
      <w:r w:rsidR="00392541">
        <w:t xml:space="preserve">the red section in the top right represents an operational region that is difficult to gain information about whether due to danger, cost, or other factors restricting test. The picture on the right represents likely situations where a large portion of the mission region is unaccounted for by our referents (the white dots). This may result in a model that seems to be high fidelity due to agreement with the </w:t>
      </w:r>
      <w:r w:rsidR="00BE2EDE">
        <w:t xml:space="preserve">available </w:t>
      </w:r>
      <w:r w:rsidR="00392541">
        <w:t>data</w:t>
      </w:r>
      <w:r w:rsidR="00BE2EDE">
        <w:t>, but</w:t>
      </w:r>
      <w:r w:rsidR="00392541">
        <w:t xml:space="preserve"> may differ dramatically from reality in the unsupported sections. Likewise, in the left picture, we may have referents extending across the scope, but with large gaps between referent information</w:t>
      </w:r>
      <w:r w:rsidR="00141DD0">
        <w:t>. In other words,</w:t>
      </w:r>
      <w:r w:rsidR="00392541">
        <w:t xml:space="preserve"> we may still have regions where the model doesn’t capture reality</w:t>
      </w:r>
      <w:r w:rsidR="00141DD0">
        <w:t>,</w:t>
      </w:r>
      <w:r w:rsidR="00392541">
        <w:t xml:space="preserve"> </w:t>
      </w:r>
      <w:r w:rsidR="00141DD0">
        <w:t xml:space="preserve">but fidelity </w:t>
      </w:r>
      <w:r w:rsidR="00392541">
        <w:t>can</w:t>
      </w:r>
      <w:r w:rsidR="00141DD0">
        <w:t>no</w:t>
      </w:r>
      <w:r w:rsidR="00392541">
        <w:t>t be properly assessed</w:t>
      </w:r>
      <w:r w:rsidR="00141DD0">
        <w:t xml:space="preserve"> </w:t>
      </w:r>
      <w:r w:rsidR="00402B9E">
        <w:t xml:space="preserve">due to unavailable </w:t>
      </w:r>
      <w:r w:rsidR="00141DD0">
        <w:t>data</w:t>
      </w:r>
      <w:r w:rsidR="00392541">
        <w:t>. To account for these issues, we need to not only assess fidelity at various points across the scope, but we must also assess how well covered the scope is by our referents.</w:t>
      </w:r>
    </w:p>
    <w:p w14:paraId="6B9EF035" w14:textId="77777777" w:rsidR="00392541" w:rsidRDefault="00392541" w:rsidP="00392541">
      <w:pPr>
        <w:pStyle w:val="BodyText"/>
      </w:pPr>
    </w:p>
    <w:p w14:paraId="4B720FD9" w14:textId="3E1B87EC" w:rsidR="00392541" w:rsidRDefault="00392541" w:rsidP="00392541">
      <w:pPr>
        <w:pStyle w:val="BodyText"/>
      </w:pPr>
      <w:r>
        <w:t xml:space="preserve">A metric to assess mission region coverage needs to assess both volume coverage and density coverage. Volume coverage describes the volume of </w:t>
      </w:r>
      <w:r w:rsidR="00B834A8">
        <w:t xml:space="preserve">mission </w:t>
      </w:r>
      <w:r>
        <w:t xml:space="preserve">space covered, </w:t>
      </w:r>
      <w:r w:rsidR="000071BA">
        <w:t xml:space="preserve">while </w:t>
      </w:r>
      <w:r>
        <w:t xml:space="preserve">density coverage describes the density of points covering a defined scope region. The metric will be a multiplicative combination of separate volume and density </w:t>
      </w:r>
      <w:r w:rsidR="002963EC">
        <w:t>sub-</w:t>
      </w:r>
      <w:r>
        <w:t>metrics. These metrics should be bounded between 0 and 1, representing no coverage and perfect coverage</w:t>
      </w:r>
      <w:r w:rsidR="000071BA">
        <w:t>,</w:t>
      </w:r>
      <w:r>
        <w:t xml:space="preserve"> respectively. Both high</w:t>
      </w:r>
      <w:r w:rsidR="000071BA">
        <w:t>-</w:t>
      </w:r>
      <w:r>
        <w:t>volume coverage and high</w:t>
      </w:r>
      <w:r w:rsidR="000071BA">
        <w:t>-</w:t>
      </w:r>
      <w:r>
        <w:t>density coverage are needed for a high</w:t>
      </w:r>
      <w:r w:rsidR="000071BA">
        <w:t>-</w:t>
      </w:r>
      <w:r>
        <w:t>overall coverage score, yet a poor score for either volume coverage or density coverage is sufficient to result in a poor overall</w:t>
      </w:r>
      <w:r w:rsidR="000071BA">
        <w:t>-</w:t>
      </w:r>
      <w:r>
        <w:t xml:space="preserve">coverage score. Finally, a coverage metric should normalize all mission factors to have the same weight. This normalization rescales any numerical factors to a scale from 0 to 1. This ensures that the impact of a factor isn’t tied to the measurement scale used. Our overall metric then takes the form seen in Equation 3.1, where </w:t>
      </w:r>
      <m:oMath>
        <m:sSub>
          <m:sSubPr>
            <m:ctrlPr>
              <w:rPr>
                <w:rFonts w:ascii="Cambria Math" w:hAnsi="Cambria Math"/>
                <w:i/>
              </w:rPr>
            </m:ctrlPr>
          </m:sSubPr>
          <m:e>
            <m:r>
              <w:rPr>
                <w:rFonts w:ascii="Cambria Math" w:hAnsi="Cambria Math"/>
              </w:rPr>
              <m:t>C</m:t>
            </m:r>
          </m:e>
          <m:sub>
            <m:r>
              <w:rPr>
                <w:rFonts w:ascii="Cambria Math" w:hAnsi="Cambria Math"/>
              </w:rPr>
              <m:t>V</m:t>
            </m:r>
          </m:sub>
        </m:sSub>
      </m:oMath>
      <w:r>
        <w:rPr>
          <w:rFonts w:eastAsiaTheme="minorEastAsia"/>
        </w:rPr>
        <w:t xml:space="preserve"> is a volume metric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D</m:t>
            </m:r>
          </m:sub>
        </m:sSub>
      </m:oMath>
      <w:r>
        <w:rPr>
          <w:rFonts w:eastAsiaTheme="minorEastAsia"/>
        </w:rPr>
        <w:t xml:space="preserve"> is a density metric.</w:t>
      </w:r>
    </w:p>
    <w:p w14:paraId="71D6D591" w14:textId="77777777" w:rsidR="00392541" w:rsidRDefault="00392541" w:rsidP="00392541">
      <w:pPr>
        <w:pStyle w:val="BodyText"/>
      </w:pPr>
    </w:p>
    <w:p w14:paraId="01ECAB64" w14:textId="690D682E" w:rsidR="00392541" w:rsidRDefault="00DF4283" w:rsidP="00350951">
      <w:pPr>
        <w:pStyle w:val="BodyText"/>
        <w:tabs>
          <w:tab w:val="center" w:pos="4680"/>
          <w:tab w:val="right" w:pos="9360"/>
        </w:tabs>
      </w:pPr>
      <w:r>
        <w:rPr>
          <w:rFonts w:eastAsiaTheme="minorEastAsia"/>
        </w:rPr>
        <w:tab/>
      </w:r>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V</m:t>
            </m:r>
          </m:sub>
        </m:sSub>
        <m:sSub>
          <m:sSubPr>
            <m:ctrlPr>
              <w:rPr>
                <w:rFonts w:ascii="Cambria Math" w:hAnsi="Cambria Math"/>
                <w:i/>
              </w:rPr>
            </m:ctrlPr>
          </m:sSubPr>
          <m:e>
            <m:r>
              <w:rPr>
                <w:rFonts w:ascii="Cambria Math" w:hAnsi="Cambria Math"/>
              </w:rPr>
              <m:t>C</m:t>
            </m:r>
          </m:e>
          <m:sub>
            <m:r>
              <w:rPr>
                <w:rFonts w:ascii="Cambria Math" w:hAnsi="Cambria Math"/>
              </w:rPr>
              <m:t>D</m:t>
            </m:r>
          </m:sub>
        </m:sSub>
      </m:oMath>
      <w:r>
        <w:rPr>
          <w:rFonts w:eastAsiaTheme="minorEastAsia"/>
        </w:rPr>
        <w:tab/>
      </w:r>
      <w:r w:rsidR="00392541">
        <w:rPr>
          <w:rFonts w:eastAsiaTheme="minorEastAsia"/>
        </w:rPr>
        <w:t>(3.1)</w:t>
      </w:r>
    </w:p>
    <w:p w14:paraId="6F77BE3E" w14:textId="5B5A39EE" w:rsidR="00392541" w:rsidRDefault="00392541" w:rsidP="00392541">
      <w:pPr>
        <w:pStyle w:val="BodyText"/>
      </w:pPr>
      <w:r>
        <w:t>The following sections will address the considerations for the volume component and the density component of the coverage metric in turn.</w:t>
      </w:r>
      <w:r w:rsidR="003E086D">
        <w:t xml:space="preserve"> Notably, these metrics are defined below for assessing continuous factors. To calculate these metrics with categorical factors, we must calculate the metrics individually within each factor level setting and then average the results.</w:t>
      </w:r>
    </w:p>
    <w:p w14:paraId="5FCA4317" w14:textId="77777777" w:rsidR="00392541" w:rsidRDefault="00392541" w:rsidP="00392541">
      <w:pPr>
        <w:pStyle w:val="BodyText"/>
      </w:pPr>
    </w:p>
    <w:p w14:paraId="6D7CAFC8" w14:textId="7069DCDC" w:rsidR="00392541" w:rsidRDefault="00392541" w:rsidP="00392541">
      <w:pPr>
        <w:pStyle w:val="APALevelHeading3"/>
      </w:pPr>
      <w:bookmarkStart w:id="17" w:name="_Toc108514035"/>
      <w:bookmarkStart w:id="18" w:name="_Toc111627598"/>
      <w:r>
        <w:t>Volume Metric</w:t>
      </w:r>
      <w:bookmarkEnd w:id="17"/>
      <w:bookmarkEnd w:id="18"/>
    </w:p>
    <w:p w14:paraId="6BB016E9" w14:textId="2802AA6B" w:rsidR="00392541" w:rsidRDefault="00392541" w:rsidP="00392541">
      <w:pPr>
        <w:pStyle w:val="BodyText"/>
      </w:pPr>
      <w:r>
        <w:t xml:space="preserve">The simplest conceptual structure for a volume metric is to measure the ratio of the volume covered by data points to the volume of our mission </w:t>
      </w:r>
      <w:r w:rsidR="00B834A8">
        <w:t>space</w:t>
      </w:r>
      <w:r>
        <w:t xml:space="preserve">, where volume is understood not in three dimensions but as a </w:t>
      </w:r>
      <m:oMath>
        <m:r>
          <w:rPr>
            <w:rFonts w:ascii="Cambria Math" w:eastAsiaTheme="minorEastAsia" w:hAnsi="Cambria Math"/>
          </w:rPr>
          <m:t>d</m:t>
        </m:r>
      </m:oMath>
      <w:r>
        <w:t xml:space="preserve">-dimensional volume where </w:t>
      </w:r>
      <m:oMath>
        <m:r>
          <w:rPr>
            <w:rFonts w:ascii="Cambria Math" w:eastAsiaTheme="minorEastAsia" w:hAnsi="Cambria Math"/>
          </w:rPr>
          <m:t>d</m:t>
        </m:r>
      </m:oMath>
      <w:r>
        <w:t xml:space="preserve"> is the number of factors that define our mission space</w:t>
      </w:r>
      <w:r w:rsidR="00CF0AB2">
        <w:t>.</w:t>
      </w:r>
      <w:r>
        <w:t xml:space="preserve"> </w:t>
      </w:r>
      <w:r w:rsidR="00CF0AB2">
        <w:t xml:space="preserve">This metric is </w:t>
      </w:r>
      <w:r>
        <w:t>seen in Equation 3.2 (</w:t>
      </w:r>
      <w:r w:rsidRPr="00110079">
        <w:rPr>
          <w:color w:val="auto"/>
        </w:rPr>
        <w:t>Hemez</w:t>
      </w:r>
      <w:r w:rsidR="000144D9">
        <w:rPr>
          <w:color w:val="auto"/>
        </w:rPr>
        <w:t>,</w:t>
      </w:r>
      <w:r w:rsidRPr="00110079">
        <w:rPr>
          <w:color w:val="auto"/>
        </w:rPr>
        <w:t xml:space="preserve"> 2010</w:t>
      </w:r>
      <w:r>
        <w:t xml:space="preserve">) where </w:t>
      </w:r>
      <m:oMath>
        <m:sSub>
          <m:sSubPr>
            <m:ctrlPr>
              <w:rPr>
                <w:rFonts w:ascii="Cambria Math" w:hAnsi="Cambria Math"/>
                <w:i/>
              </w:rPr>
            </m:ctrlPr>
          </m:sSubPr>
          <m:e>
            <m:r>
              <w:rPr>
                <w:rFonts w:ascii="Cambria Math" w:hAnsi="Cambria Math"/>
              </w:rPr>
              <m:t>V</m:t>
            </m:r>
          </m:e>
          <m:sub>
            <m:r>
              <m:rPr>
                <m:sty m:val="p"/>
              </m:rPr>
              <w:rPr>
                <w:rFonts w:ascii="Cambria Math" w:hAnsi="Cambria Math"/>
              </w:rPr>
              <m:t>data</m:t>
            </m:r>
          </m:sub>
        </m:sSub>
      </m:oMath>
      <w:r w:rsidR="006B6E5C">
        <w:rPr>
          <w:rFonts w:eastAsiaTheme="minorEastAsia"/>
        </w:rPr>
        <w:t xml:space="preserve"> is the volume of the convex hull around our data and </w:t>
      </w:r>
      <m:oMath>
        <m:sSub>
          <m:sSubPr>
            <m:ctrlPr>
              <w:rPr>
                <w:rFonts w:ascii="Cambria Math" w:hAnsi="Cambria Math"/>
                <w:i/>
              </w:rPr>
            </m:ctrlPr>
          </m:sSubPr>
          <m:e>
            <m:r>
              <w:rPr>
                <w:rFonts w:ascii="Cambria Math" w:hAnsi="Cambria Math"/>
              </w:rPr>
              <m:t>V</m:t>
            </m:r>
          </m:e>
          <m:sub>
            <m:r>
              <m:rPr>
                <m:sty m:val="p"/>
              </m:rPr>
              <w:rPr>
                <w:rFonts w:ascii="Cambria Math" w:hAnsi="Cambria Math"/>
              </w:rPr>
              <m:t>domain</m:t>
            </m:r>
          </m:sub>
        </m:sSub>
      </m:oMath>
      <w:r w:rsidR="006B6E5C">
        <w:rPr>
          <w:rFonts w:eastAsiaTheme="minorEastAsia"/>
        </w:rPr>
        <w:t xml:space="preserve"> is the entire volume of the domain, or </w:t>
      </w:r>
      <w:r w:rsidR="00AB6BEE">
        <w:rPr>
          <w:rFonts w:eastAsiaTheme="minorEastAsia"/>
        </w:rPr>
        <w:t>mission space</w:t>
      </w:r>
      <w:r w:rsidR="006B6E5C">
        <w:rPr>
          <w:rFonts w:eastAsiaTheme="minorEastAsia"/>
        </w:rPr>
        <w:t>.</w:t>
      </w:r>
    </w:p>
    <w:p w14:paraId="5D6BDD62" w14:textId="77777777" w:rsidR="00392541" w:rsidRDefault="00392541" w:rsidP="00392541">
      <w:pPr>
        <w:pStyle w:val="BodyText"/>
      </w:pPr>
    </w:p>
    <w:p w14:paraId="0E18D272" w14:textId="702A22E8" w:rsidR="00392541" w:rsidRDefault="00DF4283" w:rsidP="00EB0429">
      <w:pPr>
        <w:pStyle w:val="BodyText"/>
        <w:tabs>
          <w:tab w:val="center" w:pos="4680"/>
          <w:tab w:val="right" w:pos="9360"/>
        </w:tabs>
      </w:pPr>
      <w:r>
        <w:rPr>
          <w:rFonts w:eastAsiaTheme="minorEastAsia"/>
        </w:rPr>
        <w:tab/>
      </w:r>
      <m:oMath>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rPr>
                  <m:t>data</m:t>
                </m:r>
              </m:sub>
            </m:sSub>
          </m:num>
          <m:den>
            <m:sSub>
              <m:sSubPr>
                <m:ctrlPr>
                  <w:rPr>
                    <w:rFonts w:ascii="Cambria Math" w:hAnsi="Cambria Math"/>
                    <w:i/>
                  </w:rPr>
                </m:ctrlPr>
              </m:sSubPr>
              <m:e>
                <m:r>
                  <w:rPr>
                    <w:rFonts w:ascii="Cambria Math" w:hAnsi="Cambria Math"/>
                  </w:rPr>
                  <m:t>V</m:t>
                </m:r>
              </m:e>
              <m:sub>
                <m:r>
                  <m:rPr>
                    <m:sty m:val="p"/>
                  </m:rPr>
                  <w:rPr>
                    <w:rFonts w:ascii="Cambria Math" w:hAnsi="Cambria Math"/>
                  </w:rPr>
                  <m:t>domain</m:t>
                </m:r>
              </m:sub>
            </m:sSub>
          </m:den>
        </m:f>
      </m:oMath>
      <w:r>
        <w:rPr>
          <w:rFonts w:eastAsiaTheme="minorEastAsia"/>
        </w:rPr>
        <w:tab/>
      </w:r>
      <w:r w:rsidR="00392541">
        <w:rPr>
          <w:rFonts w:eastAsiaTheme="minorEastAsia"/>
        </w:rPr>
        <w:t>(3.2)</w:t>
      </w:r>
    </w:p>
    <w:p w14:paraId="694E0AB8" w14:textId="77777777" w:rsidR="00392541" w:rsidRDefault="00392541" w:rsidP="00392541">
      <w:pPr>
        <w:pStyle w:val="BodyText"/>
      </w:pPr>
    </w:p>
    <w:p w14:paraId="71FE3498" w14:textId="5CFE372E" w:rsidR="00392541" w:rsidRDefault="00392541" w:rsidP="00D81007">
      <w:pPr>
        <w:pStyle w:val="BodyText"/>
        <w:rPr>
          <w:rFonts w:eastAsiaTheme="minorEastAsia"/>
        </w:rPr>
      </w:pPr>
      <w:r>
        <w:t>The domain volume is computed with the understanding that each mission factor is rescaled and bound from 0 to 1, with 0 representing the minimum factor value of mission interest and 1 representing the maxim</w:t>
      </w:r>
      <w:r w:rsidR="004C6D42">
        <w:t>um</w:t>
      </w:r>
      <w:r>
        <w:t xml:space="preserve"> value of mission interest. The domain volume is</w:t>
      </w:r>
      <w:r w:rsidR="004C6D42">
        <w:t xml:space="preserve"> then</w:t>
      </w:r>
      <w:r>
        <w:t xml:space="preserve"> simply 1 unless some additional constraint is added where the system will not operate.</w:t>
      </w:r>
      <w:r>
        <w:rPr>
          <w:rFonts w:eastAsiaTheme="minorEastAsia"/>
        </w:rPr>
        <w:t xml:space="preserve"> The computation of data volume is more demanding. For this, we draw a convex hull around all </w:t>
      </w:r>
      <w:r w:rsidR="003E086D">
        <w:rPr>
          <w:rFonts w:eastAsiaTheme="minorEastAsia"/>
        </w:rPr>
        <w:t>points containing both referent and model information</w:t>
      </w:r>
      <w:r>
        <w:rPr>
          <w:rFonts w:eastAsiaTheme="minorEastAsia"/>
        </w:rPr>
        <w:t>, which is the smallest shape that fully encapsulates our information while having no concave surface geometry. However, this construct presents computational problems and conceptual problems. Computationally, this calculation is straightforward and easily automatable, but as the number of dimensions increase</w:t>
      </w:r>
      <w:r w:rsidR="004C6D42">
        <w:rPr>
          <w:rFonts w:eastAsiaTheme="minorEastAsia"/>
        </w:rPr>
        <w:t>,</w:t>
      </w:r>
      <w:r>
        <w:rPr>
          <w:rFonts w:eastAsiaTheme="minorEastAsia"/>
        </w:rPr>
        <w:t xml:space="preserve"> the time requirement for such a calculation increases exponentially. Conceptually, this metric is not consistent for interpretation</w:t>
      </w:r>
      <w:r w:rsidR="00876227">
        <w:rPr>
          <w:rFonts w:eastAsiaTheme="minorEastAsia"/>
        </w:rPr>
        <w:t xml:space="preserve"> between models with differing amounts of factors. As the number of dimensions increase</w:t>
      </w:r>
      <w:r w:rsidR="00883B89">
        <w:rPr>
          <w:rFonts w:eastAsiaTheme="minorEastAsia"/>
        </w:rPr>
        <w:t>s</w:t>
      </w:r>
      <w:r w:rsidR="00876227">
        <w:rPr>
          <w:rFonts w:eastAsiaTheme="minorEastAsia"/>
        </w:rPr>
        <w:t>, an increasing proportion of a</w:t>
      </w:r>
      <w:r w:rsidR="004D3D5B">
        <w:rPr>
          <w:rFonts w:eastAsiaTheme="minorEastAsia"/>
        </w:rPr>
        <w:t xml:space="preserve"> geometric</w:t>
      </w:r>
      <w:r w:rsidR="00876227">
        <w:rPr>
          <w:rFonts w:eastAsiaTheme="minorEastAsia"/>
        </w:rPr>
        <w:t xml:space="preserve"> object</w:t>
      </w:r>
      <w:r w:rsidR="004C6D42">
        <w:rPr>
          <w:rFonts w:eastAsiaTheme="minorEastAsia"/>
        </w:rPr>
        <w:t>’s volume</w:t>
      </w:r>
      <w:r w:rsidR="00876227">
        <w:rPr>
          <w:rFonts w:eastAsiaTheme="minorEastAsia"/>
        </w:rPr>
        <w:t xml:space="preserve"> is found near the edge</w:t>
      </w:r>
      <w:r w:rsidR="004D3D5B">
        <w:rPr>
          <w:rFonts w:eastAsiaTheme="minorEastAsia"/>
        </w:rPr>
        <w:t>s</w:t>
      </w:r>
      <w:r w:rsidR="00876227">
        <w:rPr>
          <w:rFonts w:eastAsiaTheme="minorEastAsia"/>
        </w:rPr>
        <w:t xml:space="preserve">. With models, this means that </w:t>
      </w:r>
      <w:r w:rsidR="004D3D5B">
        <w:rPr>
          <w:rFonts w:eastAsiaTheme="minorEastAsia"/>
        </w:rPr>
        <w:t xml:space="preserve">a model with many factors would need data </w:t>
      </w:r>
      <w:r w:rsidR="00755CEB">
        <w:rPr>
          <w:rFonts w:eastAsiaTheme="minorEastAsia"/>
        </w:rPr>
        <w:t xml:space="preserve">focused </w:t>
      </w:r>
      <w:r w:rsidR="004D3D5B">
        <w:rPr>
          <w:rFonts w:eastAsiaTheme="minorEastAsia"/>
        </w:rPr>
        <w:t>much closer to the edge</w:t>
      </w:r>
      <w:r w:rsidR="00883B89">
        <w:rPr>
          <w:rFonts w:eastAsiaTheme="minorEastAsia"/>
        </w:rPr>
        <w:t>s</w:t>
      </w:r>
      <w:r w:rsidR="004D3D5B">
        <w:rPr>
          <w:rFonts w:eastAsiaTheme="minorEastAsia"/>
        </w:rPr>
        <w:t xml:space="preserve"> of the mission space </w:t>
      </w:r>
      <w:r w:rsidR="00883B89">
        <w:rPr>
          <w:rFonts w:eastAsiaTheme="minorEastAsia"/>
        </w:rPr>
        <w:t>to cover the same volume proportion as a model with few factors.</w:t>
      </w:r>
      <w:r w:rsidR="00AB6BEE">
        <w:rPr>
          <w:rFonts w:eastAsiaTheme="minorEastAsia"/>
        </w:rPr>
        <w:t xml:space="preserve"> </w:t>
      </w:r>
      <w:r>
        <w:rPr>
          <w:rFonts w:eastAsiaTheme="minorEastAsia"/>
        </w:rPr>
        <w:t>These issues drive the need for a computationally less demanding and more consistently interpretable volume metric.</w:t>
      </w:r>
    </w:p>
    <w:p w14:paraId="40349FCF" w14:textId="77777777" w:rsidR="00392541" w:rsidRDefault="00392541" w:rsidP="00392541">
      <w:pPr>
        <w:pStyle w:val="BodyText"/>
        <w:rPr>
          <w:rFonts w:eastAsiaTheme="minorEastAsia"/>
        </w:rPr>
      </w:pPr>
    </w:p>
    <w:p w14:paraId="1852E807" w14:textId="6ED128E5" w:rsidR="00345FA5" w:rsidRDefault="00392541" w:rsidP="00392541">
      <w:pPr>
        <w:pStyle w:val="BodyText"/>
        <w:rPr>
          <w:rFonts w:eastAsiaTheme="minorEastAsia"/>
        </w:rPr>
      </w:pPr>
      <w:r>
        <w:rPr>
          <w:rFonts w:eastAsiaTheme="minorEastAsia"/>
        </w:rPr>
        <w:t xml:space="preserve">Our proposed volume metric, seen in Equation 3.3, will still compare the </w:t>
      </w:r>
      <m:oMath>
        <m:r>
          <w:rPr>
            <w:rFonts w:ascii="Cambria Math" w:eastAsiaTheme="minorEastAsia" w:hAnsi="Cambria Math"/>
          </w:rPr>
          <m:t>d</m:t>
        </m:r>
      </m:oMath>
      <w:r>
        <w:rPr>
          <w:rFonts w:eastAsiaTheme="minorEastAsia"/>
        </w:rPr>
        <w:t xml:space="preserve">-dimensional volume of the convex hull around our information to the </w:t>
      </w:r>
      <m:oMath>
        <m:r>
          <w:rPr>
            <w:rFonts w:ascii="Cambria Math" w:eastAsiaTheme="minorEastAsia" w:hAnsi="Cambria Math"/>
          </w:rPr>
          <m:t>d</m:t>
        </m:r>
      </m:oMath>
      <w:r>
        <w:rPr>
          <w:rFonts w:eastAsiaTheme="minorEastAsia"/>
        </w:rPr>
        <w:t xml:space="preserve">-dimensional volume of our mission space only when our mission space is defined by 5 or less dimensions. In cases where our space is defined by more than 5 dimensions, we compensate for the growing issue of dimensionality by looking at 5 dimensional projections of our space. Specifically, we consider </w:t>
      </w:r>
      <w:r w:rsidR="00B51DD4">
        <w:rPr>
          <w:rFonts w:eastAsiaTheme="minorEastAsia"/>
        </w:rPr>
        <w:t xml:space="preserve">all </w:t>
      </w:r>
      <m:oMath>
        <m:r>
          <w:rPr>
            <w:rFonts w:ascii="Cambria Math" w:eastAsiaTheme="minorEastAsia" w:hAnsi="Cambria Math"/>
          </w:rPr>
          <m:t>k=(</m:t>
        </m:r>
        <m:r>
          <w:rPr>
            <w:rFonts w:ascii="Cambria Math" w:hAnsi="Cambria Math"/>
          </w:rPr>
          <m:t>d</m:t>
        </m:r>
        <m:r>
          <w:rPr>
            <w:rFonts w:ascii="Cambria Math" w:eastAsiaTheme="minorEastAsia" w:hAnsi="Cambria Math"/>
          </w:rPr>
          <m:t xml:space="preserve"> </m:t>
        </m:r>
        <m:r>
          <m:rPr>
            <m:sty m:val="p"/>
          </m:rPr>
          <w:rPr>
            <w:rFonts w:ascii="Cambria Math" w:eastAsiaTheme="minorEastAsia" w:hAnsi="Cambria Math"/>
          </w:rPr>
          <m:t>choose</m:t>
        </m:r>
        <m:r>
          <w:rPr>
            <w:rFonts w:ascii="Cambria Math" w:eastAsiaTheme="minorEastAsia" w:hAnsi="Cambria Math"/>
          </w:rPr>
          <m:t xml:space="preserve"> </m:t>
        </m:r>
        <m:r>
          <w:rPr>
            <w:rFonts w:ascii="Cambria Math" w:hAnsi="Cambria Math"/>
          </w:rPr>
          <m:t>5</m:t>
        </m:r>
        <m:r>
          <w:rPr>
            <w:rFonts w:ascii="Cambria Math" w:eastAsiaTheme="minorEastAsia" w:hAnsi="Cambria Math"/>
          </w:rPr>
          <m:t>)</m:t>
        </m:r>
      </m:oMath>
      <w:r w:rsidR="00B51DD4">
        <w:rPr>
          <w:rFonts w:eastAsiaTheme="minorEastAsia"/>
        </w:rPr>
        <w:t xml:space="preserve"> </w:t>
      </w:r>
      <w:r>
        <w:rPr>
          <w:rFonts w:eastAsiaTheme="minorEastAsia"/>
        </w:rPr>
        <w:t>combination</w:t>
      </w:r>
      <w:r w:rsidR="00B51DD4">
        <w:rPr>
          <w:rFonts w:eastAsiaTheme="minorEastAsia"/>
        </w:rPr>
        <w:t>s</w:t>
      </w:r>
      <w:r>
        <w:rPr>
          <w:rFonts w:eastAsiaTheme="minorEastAsia"/>
        </w:rPr>
        <w:t xml:space="preserve"> of 5 factors from among the </w:t>
      </w:r>
      <m:oMath>
        <m:r>
          <w:rPr>
            <w:rFonts w:ascii="Cambria Math" w:eastAsiaTheme="minorEastAsia" w:hAnsi="Cambria Math"/>
          </w:rPr>
          <m:t>d</m:t>
        </m:r>
      </m:oMath>
      <w:r>
        <w:rPr>
          <w:rFonts w:eastAsiaTheme="minorEastAsia"/>
        </w:rPr>
        <w:t xml:space="preserve"> factors that define our </w:t>
      </w:r>
      <w:r w:rsidR="000071BA">
        <w:rPr>
          <w:rFonts w:eastAsiaTheme="minorEastAsia"/>
        </w:rPr>
        <w:t>space and</w:t>
      </w:r>
      <w:r>
        <w:rPr>
          <w:rFonts w:eastAsiaTheme="minorEastAsia"/>
        </w:rPr>
        <w:t xml:space="preserve"> calculate the </w:t>
      </w:r>
      <w:r w:rsidR="00AB6BEE">
        <w:rPr>
          <w:rFonts w:eastAsiaTheme="minorEastAsia"/>
        </w:rPr>
        <w:t xml:space="preserve">coverage </w:t>
      </w:r>
      <w:r>
        <w:rPr>
          <w:rFonts w:eastAsiaTheme="minorEastAsia"/>
        </w:rPr>
        <w:t>volume with only those 5 factors in mind. Upon calculating volume for</w:t>
      </w:r>
      <w:r w:rsidR="00B51DD4">
        <w:rPr>
          <w:rFonts w:eastAsiaTheme="minorEastAsia"/>
        </w:rPr>
        <w:t xml:space="preserve"> all </w:t>
      </w:r>
      <m:oMath>
        <m:r>
          <w:rPr>
            <w:rFonts w:ascii="Cambria Math" w:eastAsiaTheme="minorEastAsia" w:hAnsi="Cambria Math"/>
          </w:rPr>
          <m:t>k</m:t>
        </m:r>
      </m:oMath>
      <w:r w:rsidR="00B51DD4">
        <w:rPr>
          <w:rFonts w:eastAsiaTheme="minorEastAsia"/>
        </w:rPr>
        <w:t xml:space="preserve"> </w:t>
      </w:r>
      <w:r w:rsidR="000071BA">
        <w:rPr>
          <w:rFonts w:eastAsiaTheme="minorEastAsia"/>
        </w:rPr>
        <w:t>5-factor</w:t>
      </w:r>
      <w:r>
        <w:rPr>
          <w:rFonts w:eastAsiaTheme="minorEastAsia"/>
        </w:rPr>
        <w:t xml:space="preserve"> sp</w:t>
      </w:r>
      <w:r w:rsidR="00AB6BEE">
        <w:rPr>
          <w:rFonts w:eastAsiaTheme="minorEastAsia"/>
        </w:rPr>
        <w:t>at</w:t>
      </w:r>
      <w:r>
        <w:rPr>
          <w:rFonts w:eastAsiaTheme="minorEastAsia"/>
        </w:rPr>
        <w:t>ial projection</w:t>
      </w:r>
      <w:r w:rsidR="00B51DD4">
        <w:rPr>
          <w:rFonts w:eastAsiaTheme="minorEastAsia"/>
        </w:rPr>
        <w:t>s</w:t>
      </w:r>
      <w:r>
        <w:rPr>
          <w:rFonts w:eastAsiaTheme="minorEastAsia"/>
        </w:rPr>
        <w:t xml:space="preserve">, we average the coverage volumes to calculate our volume metric. </w:t>
      </w:r>
      <w:r w:rsidR="00D02DE7">
        <w:rPr>
          <w:rFonts w:eastAsiaTheme="minorEastAsia"/>
        </w:rPr>
        <w:t xml:space="preserve">We define </w:t>
      </w:r>
      <m:oMath>
        <m:sSub>
          <m:sSubPr>
            <m:ctrlPr>
              <w:rPr>
                <w:rFonts w:ascii="Cambria Math" w:hAnsi="Cambria Math"/>
                <w:i/>
              </w:rPr>
            </m:ctrlPr>
          </m:sSubPr>
          <m:e>
            <m:r>
              <w:rPr>
                <w:rFonts w:ascii="Cambria Math" w:hAnsi="Cambria Math"/>
              </w:rPr>
              <m:t>V</m:t>
            </m:r>
          </m:e>
          <m:sub>
            <m:r>
              <m:rPr>
                <m:sty m:val="p"/>
              </m:rPr>
              <w:rPr>
                <w:rFonts w:ascii="Cambria Math" w:hAnsi="Cambria Math"/>
              </w:rPr>
              <m:t>data,</m:t>
            </m:r>
            <m:r>
              <w:rPr>
                <w:rFonts w:ascii="Cambria Math" w:hAnsi="Cambria Math"/>
              </w:rPr>
              <m:t>i</m:t>
            </m:r>
          </m:sub>
        </m:sSub>
      </m:oMath>
      <w:r w:rsidR="00D02DE7">
        <w:rPr>
          <w:rFonts w:eastAsiaTheme="minorEastAsia"/>
        </w:rPr>
        <w:t xml:space="preserve"> and </w:t>
      </w:r>
      <m:oMath>
        <m:sSub>
          <m:sSubPr>
            <m:ctrlPr>
              <w:rPr>
                <w:rFonts w:ascii="Cambria Math" w:hAnsi="Cambria Math"/>
                <w:i/>
              </w:rPr>
            </m:ctrlPr>
          </m:sSubPr>
          <m:e>
            <m:r>
              <w:rPr>
                <w:rFonts w:ascii="Cambria Math" w:hAnsi="Cambria Math"/>
              </w:rPr>
              <m:t>V</m:t>
            </m:r>
          </m:e>
          <m:sub>
            <m:r>
              <m:rPr>
                <m:sty m:val="p"/>
              </m:rPr>
              <w:rPr>
                <w:rFonts w:ascii="Cambria Math" w:hAnsi="Cambria Math"/>
              </w:rPr>
              <m:t>domain</m:t>
            </m:r>
            <m:r>
              <w:rPr>
                <w:rFonts w:ascii="Cambria Math" w:hAnsi="Cambria Math"/>
              </w:rPr>
              <m:t>,i</m:t>
            </m:r>
          </m:sub>
        </m:sSub>
      </m:oMath>
      <w:r w:rsidR="00D02DE7">
        <w:rPr>
          <w:rFonts w:eastAsiaTheme="minorEastAsia"/>
        </w:rPr>
        <w:t xml:space="preserve"> as the 5-dimensional volume of the data and domain, respectively, </w:t>
      </w:r>
      <w:r w:rsidR="00EE5879">
        <w:rPr>
          <w:rFonts w:eastAsiaTheme="minorEastAsia"/>
        </w:rPr>
        <w:t>in</w:t>
      </w:r>
      <w:r w:rsidR="00D02DE7">
        <w:rPr>
          <w:rFonts w:eastAsiaTheme="minorEastAsia"/>
        </w:rPr>
        <w:t xml:space="preserve"> the </w:t>
      </w:r>
      <m:oMath>
        <m:r>
          <w:rPr>
            <w:rFonts w:ascii="Cambria Math" w:eastAsiaTheme="minorEastAsia" w:hAnsi="Cambria Math"/>
          </w:rPr>
          <m:t>i</m:t>
        </m:r>
      </m:oMath>
      <w:r w:rsidR="00D02DE7" w:rsidRPr="00EB0429">
        <w:rPr>
          <w:rFonts w:eastAsiaTheme="minorEastAsia"/>
          <w:vertAlign w:val="superscript"/>
        </w:rPr>
        <w:t>th</w:t>
      </w:r>
      <w:r w:rsidR="00D02DE7">
        <w:rPr>
          <w:rFonts w:eastAsiaTheme="minorEastAsia"/>
        </w:rPr>
        <w:t xml:space="preserve"> unique 5-factor projection, where </w:t>
      </w:r>
      <m:oMath>
        <m:r>
          <w:rPr>
            <w:rFonts w:ascii="Cambria Math" w:eastAsiaTheme="minorEastAsia" w:hAnsi="Cambria Math"/>
          </w:rPr>
          <m:t>i=1…k</m:t>
        </m:r>
      </m:oMath>
      <w:r w:rsidR="00D02DE7">
        <w:rPr>
          <w:rFonts w:eastAsiaTheme="minorEastAsia"/>
        </w:rPr>
        <w:t xml:space="preserve">. </w:t>
      </w:r>
      <w:r w:rsidR="00755CEB">
        <w:rPr>
          <w:rFonts w:eastAsiaTheme="minorEastAsia"/>
        </w:rPr>
        <w:t>W</w:t>
      </w:r>
      <w:r>
        <w:rPr>
          <w:rFonts w:eastAsiaTheme="minorEastAsia"/>
        </w:rPr>
        <w:t>e raise the calculation to</w:t>
      </w:r>
      <w:r w:rsidRPr="00C2130D">
        <w:rPr>
          <w:rFonts w:eastAsiaTheme="minorEastAsia"/>
        </w:rPr>
        <w:t xml:space="preserve"> a factor of 1/5 or 1/</w:t>
      </w:r>
      <w:r w:rsidRPr="00EB0429">
        <w:rPr>
          <w:rFonts w:eastAsiaTheme="minorEastAsia"/>
          <w:i/>
          <w:iCs/>
        </w:rPr>
        <w:t>d</w:t>
      </w:r>
      <w:r w:rsidRPr="00C2130D">
        <w:rPr>
          <w:rFonts w:eastAsiaTheme="minorEastAsia"/>
        </w:rPr>
        <w:t xml:space="preserve"> for models with less than 5 dimensions, which has the benefit of providing a similar scale regardless of the total number of dimensions involved.</w:t>
      </w:r>
      <w:r>
        <w:rPr>
          <w:rFonts w:eastAsiaTheme="minorEastAsia"/>
        </w:rPr>
        <w:t xml:space="preserve"> </w:t>
      </w:r>
    </w:p>
    <w:p w14:paraId="2E8BED1D" w14:textId="40833AAC" w:rsidR="00BD0905" w:rsidRDefault="00BD0905" w:rsidP="00392541">
      <w:pPr>
        <w:pStyle w:val="BodyText"/>
        <w:rPr>
          <w:rFonts w:eastAsiaTheme="minorEastAsia"/>
        </w:rPr>
      </w:pPr>
    </w:p>
    <w:p w14:paraId="792728B1" w14:textId="77777777" w:rsidR="00BD0905" w:rsidRDefault="00BD0905" w:rsidP="00BD0905">
      <w:pPr>
        <w:pStyle w:val="BodyText"/>
        <w:rPr>
          <w:rFonts w:eastAsiaTheme="minorEastAsia"/>
        </w:rPr>
      </w:pPr>
      <w:r>
        <w:rPr>
          <w:rFonts w:eastAsiaTheme="minorEastAsia"/>
        </w:rPr>
        <w:t>As a final consideration, while calculating the volume of each 5-factor dimensional projection, we calculate the hull around a random sample of our points containing both referent and model data rather than the full set of points. The random sample size is the total sample size,</w:t>
      </w:r>
      <w:r w:rsidRPr="00EB0429">
        <w:rPr>
          <w:rFonts w:eastAsiaTheme="minorEastAsia"/>
          <w:i/>
          <w:iCs/>
        </w:rPr>
        <w:t xml:space="preserve"> </w:t>
      </w:r>
      <m:oMath>
        <m:r>
          <w:rPr>
            <w:rFonts w:ascii="Cambria Math" w:eastAsiaTheme="minorEastAsia" w:hAnsi="Cambria Math"/>
            <w:sz w:val="20"/>
          </w:rPr>
          <m:t>n</m:t>
        </m:r>
      </m:oMath>
      <w:r>
        <w:rPr>
          <w:rFonts w:eastAsiaTheme="minorEastAsia"/>
        </w:rPr>
        <w:t xml:space="preserve">, scaled </w:t>
      </w:r>
      <w:r>
        <w:rPr>
          <w:rFonts w:eastAsiaTheme="minorEastAsia"/>
        </w:rPr>
        <w:lastRenderedPageBreak/>
        <w:t xml:space="preserve">down to be approximately proportional to the reduction in dimensions, or </w:t>
      </w:r>
      <m:oMath>
        <m:sSub>
          <m:sSubPr>
            <m:ctrlPr>
              <w:rPr>
                <w:rFonts w:ascii="Cambria Math" w:eastAsiaTheme="minorEastAsia" w:hAnsi="Cambria Math"/>
                <w:i/>
                <w:sz w:val="20"/>
              </w:rPr>
            </m:ctrlPr>
          </m:sSubPr>
          <m:e>
            <m:r>
              <w:rPr>
                <w:rFonts w:ascii="Cambria Math" w:eastAsiaTheme="minorEastAsia" w:hAnsi="Cambria Math"/>
                <w:sz w:val="20"/>
              </w:rPr>
              <m:t>n</m:t>
            </m:r>
          </m:e>
          <m:sub>
            <m:r>
              <m:rPr>
                <m:sty m:val="p"/>
              </m:rPr>
              <w:rPr>
                <w:rFonts w:ascii="Cambria Math" w:eastAsiaTheme="minorEastAsia" w:hAnsi="Cambria Math"/>
                <w:sz w:val="20"/>
              </w:rPr>
              <m:t>sample</m:t>
            </m:r>
          </m:sub>
        </m:sSub>
        <m:r>
          <w:rPr>
            <w:rFonts w:ascii="Cambria Math" w:eastAsiaTheme="minorEastAsia" w:hAnsi="Cambria Math"/>
            <w:sz w:val="20"/>
          </w:rPr>
          <m:t>=</m:t>
        </m:r>
        <m:r>
          <m:rPr>
            <m:sty m:val="p"/>
          </m:rPr>
          <w:rPr>
            <w:rFonts w:ascii="Cambria Math" w:eastAsiaTheme="minorEastAsia" w:hAnsi="Cambria Math"/>
            <w:sz w:val="20"/>
          </w:rPr>
          <m:t>ceiling</m:t>
        </m:r>
        <m:r>
          <w:rPr>
            <w:rFonts w:ascii="Cambria Math" w:eastAsiaTheme="minorEastAsia" w:hAnsi="Cambria Math"/>
            <w:sz w:val="20"/>
          </w:rPr>
          <m:t>(n*5</m:t>
        </m:r>
        <m:r>
          <m:rPr>
            <m:nor/>
          </m:rPr>
          <w:rPr>
            <w:rFonts w:ascii="Cambria Math" w:eastAsiaTheme="minorEastAsia" w:hAnsi="Cambria Math"/>
            <w:sz w:val="20"/>
          </w:rPr>
          <m:t>/</m:t>
        </m:r>
        <m:r>
          <w:rPr>
            <w:rFonts w:ascii="Cambria Math" w:eastAsiaTheme="minorEastAsia" w:hAnsi="Cambria Math"/>
            <w:sz w:val="20"/>
          </w:rPr>
          <m:t>d)</m:t>
        </m:r>
      </m:oMath>
      <w:r w:rsidRPr="00EB0429">
        <w:rPr>
          <w:rFonts w:eastAsiaTheme="minorEastAsia"/>
          <w:sz w:val="20"/>
        </w:rPr>
        <w:t xml:space="preserve">. </w:t>
      </w:r>
      <w:r>
        <w:rPr>
          <w:rFonts w:eastAsiaTheme="minorEastAsia"/>
        </w:rPr>
        <w:t>Keeping the data amount scaled with the number of dimensions prevents our revised volume metric from overcompensating and overstating the volume.</w:t>
      </w:r>
    </w:p>
    <w:p w14:paraId="6E5100A4" w14:textId="77777777" w:rsidR="00BD0905" w:rsidRDefault="00BD0905" w:rsidP="00BD0905">
      <w:pPr>
        <w:pStyle w:val="BodyText"/>
        <w:rPr>
          <w:rFonts w:eastAsiaTheme="minorEastAsia"/>
        </w:rPr>
      </w:pPr>
    </w:p>
    <w:p w14:paraId="3492749C" w14:textId="77777777" w:rsidR="00BD0905" w:rsidRDefault="00BD0905" w:rsidP="00BD0905">
      <w:pPr>
        <w:pStyle w:val="BodyText"/>
        <w:tabs>
          <w:tab w:val="center" w:pos="4680"/>
          <w:tab w:val="right" w:pos="9360"/>
        </w:tabs>
        <w:rPr>
          <w:rFonts w:eastAsiaTheme="minorEastAsia"/>
        </w:rPr>
      </w:pPr>
      <w:r>
        <w:rPr>
          <w:rFonts w:eastAsiaTheme="minorEastAsia"/>
        </w:rPr>
        <w:tab/>
      </w:r>
      <m:oMath>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1</m:t>
                    </m:r>
                  </m:num>
                  <m:den>
                    <m:r>
                      <w:rPr>
                        <w:rFonts w:ascii="Cambria Math" w:hAnsi="Cambria Math"/>
                      </w:rPr>
                      <m:t>k</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rPr>
                                      <m:t>data,</m:t>
                                    </m:r>
                                    <m:r>
                                      <w:rPr>
                                        <w:rFonts w:ascii="Cambria Math" w:hAnsi="Cambria Math"/>
                                      </w:rPr>
                                      <m:t>i</m:t>
                                    </m:r>
                                  </m:sub>
                                </m:sSub>
                              </m:num>
                              <m:den>
                                <m:sSub>
                                  <m:sSubPr>
                                    <m:ctrlPr>
                                      <w:rPr>
                                        <w:rFonts w:ascii="Cambria Math" w:hAnsi="Cambria Math"/>
                                        <w:i/>
                                      </w:rPr>
                                    </m:ctrlPr>
                                  </m:sSubPr>
                                  <m:e>
                                    <m:r>
                                      <w:rPr>
                                        <w:rFonts w:ascii="Cambria Math" w:hAnsi="Cambria Math"/>
                                      </w:rPr>
                                      <m:t>V</m:t>
                                    </m:r>
                                  </m:e>
                                  <m:sub>
                                    <m:r>
                                      <m:rPr>
                                        <m:sty m:val="p"/>
                                      </m:rPr>
                                      <w:rPr>
                                        <w:rFonts w:ascii="Cambria Math" w:hAnsi="Cambria Math"/>
                                      </w:rPr>
                                      <m:t>domain</m:t>
                                    </m:r>
                                    <m:r>
                                      <w:rPr>
                                        <w:rFonts w:ascii="Cambria Math" w:hAnsi="Cambria Math"/>
                                      </w:rPr>
                                      <m:t>,i</m:t>
                                    </m:r>
                                  </m:sub>
                                </m:sSub>
                              </m:den>
                            </m:f>
                          </m:e>
                        </m:d>
                      </m:e>
                      <m:sup>
                        <m:r>
                          <w:rPr>
                            <w:rFonts w:ascii="Cambria Math" w:hAnsi="Cambria Math"/>
                          </w:rPr>
                          <m:t>1/5</m:t>
                        </m:r>
                      </m:sup>
                    </m:sSup>
                  </m:e>
                </m:nary>
                <m:r>
                  <w:rPr>
                    <w:rFonts w:ascii="Cambria Math" w:hAnsi="Cambria Math"/>
                  </w:rPr>
                  <m:t xml:space="preserve"> </m:t>
                </m:r>
                <m:r>
                  <m:rPr>
                    <m:sty m:val="p"/>
                  </m:rPr>
                  <w:rPr>
                    <w:rFonts w:ascii="Cambria Math" w:hAnsi="Cambria Math"/>
                  </w:rPr>
                  <m:t>for</m:t>
                </m:r>
                <m:r>
                  <w:rPr>
                    <w:rFonts w:ascii="Cambria Math" w:hAnsi="Cambria Math"/>
                  </w:rPr>
                  <m:t xml:space="preserve"> d&gt;5</m:t>
                </m:r>
              </m:e>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rPr>
                                  <m:t>data</m:t>
                                </m:r>
                              </m:sub>
                            </m:sSub>
                          </m:num>
                          <m:den>
                            <m:sSub>
                              <m:sSubPr>
                                <m:ctrlPr>
                                  <w:rPr>
                                    <w:rFonts w:ascii="Cambria Math" w:hAnsi="Cambria Math"/>
                                    <w:i/>
                                  </w:rPr>
                                </m:ctrlPr>
                              </m:sSubPr>
                              <m:e>
                                <m:r>
                                  <w:rPr>
                                    <w:rFonts w:ascii="Cambria Math" w:hAnsi="Cambria Math"/>
                                  </w:rPr>
                                  <m:t>V</m:t>
                                </m:r>
                              </m:e>
                              <m:sub>
                                <m:r>
                                  <m:rPr>
                                    <m:sty m:val="p"/>
                                  </m:rPr>
                                  <w:rPr>
                                    <w:rFonts w:ascii="Cambria Math" w:hAnsi="Cambria Math"/>
                                  </w:rPr>
                                  <m:t>domain</m:t>
                                </m:r>
                              </m:sub>
                            </m:sSub>
                          </m:den>
                        </m:f>
                      </m:e>
                    </m:d>
                  </m:e>
                  <m:sup>
                    <m:r>
                      <w:rPr>
                        <w:rFonts w:ascii="Cambria Math" w:hAnsi="Cambria Math"/>
                      </w:rPr>
                      <m:t>1/d</m:t>
                    </m:r>
                  </m:sup>
                </m:sSup>
                <m:r>
                  <m:rPr>
                    <m:sty m:val="p"/>
                  </m:rPr>
                  <w:rPr>
                    <w:rFonts w:ascii="Cambria Math" w:hAnsi="Cambria Math"/>
                  </w:rPr>
                  <m:t xml:space="preserve"> for</m:t>
                </m:r>
                <m:r>
                  <w:rPr>
                    <w:rFonts w:ascii="Cambria Math" w:hAnsi="Cambria Math"/>
                  </w:rPr>
                  <m:t xml:space="preserve"> d≤5</m:t>
                </m:r>
              </m:e>
            </m:eqArr>
          </m:e>
        </m:d>
      </m:oMath>
      <w:r>
        <w:rPr>
          <w:rFonts w:eastAsiaTheme="minorEastAsia"/>
        </w:rPr>
        <w:tab/>
        <w:t>(3.3)</w:t>
      </w:r>
    </w:p>
    <w:p w14:paraId="52B96741" w14:textId="6939704E" w:rsidR="00345FA5" w:rsidRDefault="00345FA5" w:rsidP="00392541">
      <w:pPr>
        <w:pStyle w:val="BodyText"/>
        <w:rPr>
          <w:rFonts w:eastAsiaTheme="minorEastAsia"/>
        </w:rPr>
      </w:pPr>
    </w:p>
    <w:p w14:paraId="4EA2E2DD" w14:textId="2E5FE7A3" w:rsidR="00972B13" w:rsidRDefault="00345FA5" w:rsidP="00392541">
      <w:pPr>
        <w:pStyle w:val="BodyText"/>
        <w:rPr>
          <w:rFonts w:eastAsiaTheme="minorEastAsia"/>
        </w:rPr>
      </w:pPr>
      <w:r>
        <w:rPr>
          <w:rFonts w:eastAsiaTheme="minorEastAsia"/>
        </w:rPr>
        <w:t xml:space="preserve">The time complexity for computing a convex hull </w:t>
      </w:r>
      <w:r w:rsidR="009547AF">
        <w:rPr>
          <w:rFonts w:eastAsiaTheme="minorEastAsia"/>
        </w:rPr>
        <w:t xml:space="preserve">with the Qhull algorithm </w:t>
      </w:r>
      <w:r>
        <w:rPr>
          <w:rFonts w:eastAsiaTheme="minorEastAsia"/>
        </w:rPr>
        <w:t xml:space="preserve">is </w:t>
      </w:r>
      <m:oMath>
        <m:r>
          <w:rPr>
            <w:rFonts w:ascii="Cambria Math" w:eastAsiaTheme="minorEastAsia" w:hAnsi="Cambria Math"/>
          </w:rPr>
          <m:t>O(n^</m:t>
        </m:r>
        <m:r>
          <m:rPr>
            <m:sty m:val="p"/>
          </m:rPr>
          <w:rPr>
            <w:rFonts w:ascii="Cambria Math" w:eastAsiaTheme="minorEastAsia" w:hAnsi="Cambria Math"/>
          </w:rPr>
          <m:t>floor</m:t>
        </m:r>
        <m:r>
          <w:rPr>
            <w:rFonts w:ascii="Cambria Math" w:eastAsiaTheme="minorEastAsia" w:hAnsi="Cambria Math"/>
          </w:rPr>
          <m:t>(d/2))</m:t>
        </m:r>
      </m:oMath>
      <w:r w:rsidR="009547AF">
        <w:rPr>
          <w:rFonts w:eastAsiaTheme="minorEastAsia"/>
        </w:rPr>
        <w:t xml:space="preserve"> (Barber</w:t>
      </w:r>
      <w:r w:rsidR="000144D9">
        <w:rPr>
          <w:rFonts w:eastAsiaTheme="minorEastAsia"/>
        </w:rPr>
        <w:t>,</w:t>
      </w:r>
      <w:r w:rsidR="009547AF">
        <w:rPr>
          <w:rFonts w:eastAsiaTheme="minorEastAsia"/>
        </w:rPr>
        <w:t xml:space="preserve"> 1995), where </w:t>
      </w:r>
      <m:oMath>
        <m:r>
          <w:rPr>
            <w:rFonts w:ascii="Cambria Math" w:eastAsiaTheme="minorEastAsia" w:hAnsi="Cambria Math"/>
            <w:sz w:val="20"/>
          </w:rPr>
          <m:t>n</m:t>
        </m:r>
      </m:oMath>
      <w:r w:rsidR="009547AF">
        <w:rPr>
          <w:rFonts w:eastAsiaTheme="minorEastAsia"/>
        </w:rPr>
        <w:t xml:space="preserve"> is the total sample size. </w:t>
      </w:r>
      <w:r w:rsidR="00755CEB">
        <w:rPr>
          <w:rFonts w:eastAsiaTheme="minorEastAsia"/>
        </w:rPr>
        <w:t xml:space="preserve">The time complexity for the proposed volume metric has much more sustainable scaling, allowing computation of the volume coverage in high dimensional spaces. </w:t>
      </w:r>
      <w:r w:rsidR="008162FD">
        <w:rPr>
          <w:rFonts w:eastAsiaTheme="minorEastAsia"/>
        </w:rPr>
        <w:t xml:space="preserve">The </w:t>
      </w:r>
      <w:r w:rsidR="00755CEB">
        <w:rPr>
          <w:rFonts w:eastAsiaTheme="minorEastAsia"/>
        </w:rPr>
        <w:t xml:space="preserve">comparison in time complexity is shown in </w:t>
      </w:r>
      <w:r w:rsidR="008162FD">
        <w:rPr>
          <w:rFonts w:eastAsiaTheme="minorEastAsia"/>
        </w:rPr>
        <w:t>Figure 2</w:t>
      </w:r>
      <w:r w:rsidR="00755CEB">
        <w:rPr>
          <w:rFonts w:eastAsiaTheme="minorEastAsia"/>
        </w:rPr>
        <w:t xml:space="preserve"> for </w:t>
      </w:r>
      <m:oMath>
        <m:r>
          <w:rPr>
            <w:rFonts w:ascii="Cambria Math" w:eastAsiaTheme="minorEastAsia" w:hAnsi="Cambria Math"/>
            <w:sz w:val="20"/>
          </w:rPr>
          <m:t>n=100</m:t>
        </m:r>
      </m:oMath>
      <w:r w:rsidR="008162FD">
        <w:rPr>
          <w:rFonts w:eastAsiaTheme="minorEastAsia"/>
        </w:rPr>
        <w:t>.</w:t>
      </w:r>
    </w:p>
    <w:p w14:paraId="0A10A847" w14:textId="4E0E4177" w:rsidR="008162FD" w:rsidRDefault="008162FD" w:rsidP="00EB0429">
      <w:pPr>
        <w:pStyle w:val="BodyText"/>
        <w:rPr>
          <w:rFonts w:ascii="Georgia" w:hAnsi="Georgia"/>
          <w:b/>
        </w:rPr>
      </w:pPr>
    </w:p>
    <w:p w14:paraId="1C3D73A6" w14:textId="58BCCC30" w:rsidR="00345FA5" w:rsidRDefault="00345FA5" w:rsidP="003221BA">
      <w:pPr>
        <w:pStyle w:val="BodyText"/>
        <w:jc w:val="center"/>
        <w:rPr>
          <w:noProof/>
        </w:rPr>
      </w:pPr>
      <w:r>
        <w:rPr>
          <w:noProof/>
        </w:rPr>
        <w:drawing>
          <wp:inline distT="0" distB="0" distL="0" distR="0" wp14:anchorId="7CCE4409" wp14:editId="78851986">
            <wp:extent cx="5943600" cy="2707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707005"/>
                    </a:xfrm>
                    <a:prstGeom prst="rect">
                      <a:avLst/>
                    </a:prstGeom>
                  </pic:spPr>
                </pic:pic>
              </a:graphicData>
            </a:graphic>
          </wp:inline>
        </w:drawing>
      </w:r>
    </w:p>
    <w:p w14:paraId="3BF46D42" w14:textId="27FD00A0" w:rsidR="00350951" w:rsidRDefault="00350951" w:rsidP="00350951">
      <w:pPr>
        <w:pStyle w:val="BodyText"/>
        <w:jc w:val="center"/>
        <w:rPr>
          <w:rFonts w:ascii="Georgia" w:hAnsi="Georgia"/>
          <w:b/>
        </w:rPr>
      </w:pPr>
      <w:r>
        <w:rPr>
          <w:rFonts w:ascii="Georgia" w:hAnsi="Georgia"/>
          <w:b/>
        </w:rPr>
        <w:t>Figure 2</w:t>
      </w:r>
    </w:p>
    <w:p w14:paraId="2B1043C9" w14:textId="77777777" w:rsidR="00350951" w:rsidRPr="00DE3C84" w:rsidRDefault="00350951" w:rsidP="00350951">
      <w:pPr>
        <w:pStyle w:val="BodyText"/>
        <w:jc w:val="center"/>
        <w:rPr>
          <w:rFonts w:ascii="Georgia" w:hAnsi="Georgia"/>
          <w:i/>
        </w:rPr>
      </w:pPr>
      <w:r>
        <w:rPr>
          <w:rFonts w:ascii="Georgia" w:hAnsi="Georgia"/>
          <w:i/>
        </w:rPr>
        <w:t>Time Complexity Comparison between Convex Hull and Volume Metric</w:t>
      </w:r>
    </w:p>
    <w:p w14:paraId="7C6A4FAC" w14:textId="4FB67A9D" w:rsidR="00392541" w:rsidRDefault="00392541" w:rsidP="00392541">
      <w:pPr>
        <w:pStyle w:val="BodyText"/>
      </w:pPr>
    </w:p>
    <w:p w14:paraId="157F757E" w14:textId="191D4744" w:rsidR="00392541" w:rsidRDefault="00392541" w:rsidP="00392541">
      <w:pPr>
        <w:pStyle w:val="APALevelHeading3"/>
      </w:pPr>
      <w:bookmarkStart w:id="19" w:name="_Toc108514036"/>
      <w:bookmarkStart w:id="20" w:name="_Toc111627599"/>
      <w:r>
        <w:t>Density Metric</w:t>
      </w:r>
      <w:bookmarkEnd w:id="19"/>
      <w:bookmarkEnd w:id="20"/>
    </w:p>
    <w:p w14:paraId="6EADBE0D" w14:textId="457C1604" w:rsidR="00392541" w:rsidRDefault="00392541" w:rsidP="00392541">
      <w:pPr>
        <w:pStyle w:val="BodyText"/>
      </w:pPr>
      <w:r>
        <w:t>With density, as with volume, we consider a straightforward case and then a more nuanced case to correct for shortcomings. In our straightforward density metric</w:t>
      </w:r>
      <w:r w:rsidR="000071BA">
        <w:t>,</w:t>
      </w:r>
      <w:r>
        <w:t xml:space="preserve"> we must keep in mind that we are assessing the information density evenly across </w:t>
      </w:r>
      <w:r w:rsidR="003E086D">
        <w:t>the whole</w:t>
      </w:r>
      <w:r>
        <w:t xml:space="preserve"> region</w:t>
      </w:r>
      <w:r w:rsidR="0076291B">
        <w:t xml:space="preserve"> of interest</w:t>
      </w:r>
      <w:r>
        <w:t xml:space="preserve">. </w:t>
      </w:r>
      <w:r w:rsidR="008B3A65">
        <w:t>This straig</w:t>
      </w:r>
      <w:r w:rsidR="00720E05">
        <w:t xml:space="preserve">htforward metric uses a similar approach to that of Atamturktur et al. (2009). </w:t>
      </w:r>
      <w:r>
        <w:t xml:space="preserve">As with our volume metric, we normalize our factors to a scale from 0 to 1 to ensure consistent presentation and interpretation of our metric. Then, to evenly evaluate across our space, we generate assessment points using </w:t>
      </w:r>
      <w:r w:rsidR="007A1DF2">
        <w:t xml:space="preserve">a Latin </w:t>
      </w:r>
      <w:r w:rsidR="000071BA">
        <w:t>H</w:t>
      </w:r>
      <w:r>
        <w:t xml:space="preserve">ypercube method which </w:t>
      </w:r>
      <w:r w:rsidR="0076291B">
        <w:t>generates</w:t>
      </w:r>
      <w:r w:rsidR="0006019D">
        <w:t xml:space="preserve"> points</w:t>
      </w:r>
      <w:r w:rsidR="0076291B">
        <w:t xml:space="preserve"> distributed</w:t>
      </w:r>
      <w:r w:rsidR="0006019D">
        <w:t xml:space="preserve"> across the region of interest</w:t>
      </w:r>
      <w:r>
        <w:t xml:space="preserve">. </w:t>
      </w:r>
      <w:r w:rsidR="007A1DF2">
        <w:t>All assessment points must be well covered for high coverage to be achieved. Coverage</w:t>
      </w:r>
      <w:r>
        <w:t xml:space="preserve"> </w:t>
      </w:r>
      <w:r w:rsidR="007A1DF2">
        <w:t xml:space="preserve">of </w:t>
      </w:r>
      <w:r>
        <w:t>each point</w:t>
      </w:r>
      <w:r w:rsidR="007A1DF2">
        <w:t xml:space="preserve"> is assessed</w:t>
      </w:r>
      <w:r>
        <w:t xml:space="preserve"> in turn</w:t>
      </w:r>
      <w:r w:rsidR="0076291B">
        <w:t xml:space="preserve">, which together </w:t>
      </w:r>
      <w:r>
        <w:t>provide</w:t>
      </w:r>
      <w:r w:rsidR="0076291B">
        <w:t>s</w:t>
      </w:r>
      <w:r>
        <w:t xml:space="preserve"> a complete picture of density across the scope. </w:t>
      </w:r>
      <w:r w:rsidR="000071BA">
        <w:t>To</w:t>
      </w:r>
      <w:r w:rsidR="0006019D">
        <w:t xml:space="preserve"> assess an individual </w:t>
      </w:r>
      <w:r>
        <w:t>point, we can use a nearest neighbor metric where we calculate the distance from the assessment point to the nearest referent</w:t>
      </w:r>
      <w:r w:rsidR="007A1DF2">
        <w:t xml:space="preserve"> point</w:t>
      </w:r>
      <w:r>
        <w:t>. Looking across the accumulation of assessment points, we will see that a</w:t>
      </w:r>
      <w:r w:rsidR="000071BA">
        <w:t>n</w:t>
      </w:r>
      <w:r>
        <w:t xml:space="preserve"> informationally dense mission region will on average have data closer to each point while an informationally poor region will on average have data further away from each point. To compensate for differing scales as the number of dimensions increases</w:t>
      </w:r>
      <w:r w:rsidR="000071BA">
        <w:t>,</w:t>
      </w:r>
      <w:r>
        <w:t xml:space="preserve"> we will scale down the measured distance by the maximum distance</w:t>
      </w:r>
      <w:r w:rsidR="008B3A65">
        <w:t xml:space="preserve"> attainable between two points</w:t>
      </w:r>
      <w:r>
        <w:t xml:space="preserve"> in the mission </w:t>
      </w:r>
      <w:r>
        <w:lastRenderedPageBreak/>
        <w:t xml:space="preserve">space. Finally, </w:t>
      </w:r>
      <w:r w:rsidR="0006019D">
        <w:t xml:space="preserve">as increasing distance from assessment </w:t>
      </w:r>
      <w:r>
        <w:t xml:space="preserve">points implies a reduction in coverage, we must present the average distance as a reduction from the maximal score of 1. The resulting metric is Equation 3.4 where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2228AE">
        <w:rPr>
          <w:rFonts w:eastAsiaTheme="minorEastAsia"/>
        </w:rPr>
        <w:t xml:space="preserve"> is the</w:t>
      </w:r>
      <w:r>
        <w:rPr>
          <w:rFonts w:eastAsiaTheme="minorEastAsia"/>
        </w:rPr>
        <w:t xml:space="preserve"> nearest neighbor distance</w:t>
      </w:r>
      <w:r w:rsidR="002228AE">
        <w:rPr>
          <w:rFonts w:eastAsiaTheme="minorEastAsia"/>
        </w:rPr>
        <w:t xml:space="preserve"> </w:t>
      </w:r>
      <w:r w:rsidR="00EF6BE3">
        <w:rPr>
          <w:rFonts w:eastAsiaTheme="minorEastAsia"/>
        </w:rPr>
        <w:t xml:space="preserve">from </w:t>
      </w:r>
      <w:r w:rsidR="0006019D">
        <w:rPr>
          <w:rFonts w:eastAsiaTheme="minorEastAsia"/>
        </w:rPr>
        <w:t xml:space="preserve">assessment </w:t>
      </w:r>
      <w:r>
        <w:rPr>
          <w:rFonts w:eastAsiaTheme="minorEastAsia"/>
        </w:rPr>
        <w:t>point</w:t>
      </w:r>
      <w:r w:rsidR="00EF6BE3">
        <w:rPr>
          <w:rFonts w:eastAsiaTheme="minorEastAsia"/>
        </w:rPr>
        <w:t xml:space="preserve"> </w:t>
      </w:r>
      <m:oMath>
        <m:r>
          <w:rPr>
            <w:rFonts w:ascii="Cambria Math" w:hAnsi="Cambria Math"/>
          </w:rPr>
          <m:t>i</m:t>
        </m:r>
      </m:oMath>
      <w:r w:rsidR="00EF6BE3">
        <w:rPr>
          <w:rFonts w:eastAsiaTheme="minorEastAsia"/>
        </w:rPr>
        <w:t xml:space="preserve"> to a referent point</w:t>
      </w:r>
      <w:r>
        <w:rPr>
          <w:rFonts w:eastAsiaTheme="minorEastAsia"/>
        </w:rPr>
        <w:t xml:space="preserve">, </w:t>
      </w:r>
      <m:oMath>
        <m:r>
          <w:rPr>
            <w:rFonts w:ascii="Cambria Math" w:hAnsi="Cambria Math"/>
          </w:rPr>
          <m:t>q</m:t>
        </m:r>
      </m:oMath>
      <w:r w:rsidR="002228AE">
        <w:rPr>
          <w:rFonts w:eastAsiaTheme="minorEastAsia"/>
        </w:rPr>
        <w:t xml:space="preserve"> is the number of assessment points, </w:t>
      </w:r>
      <w:r>
        <w:rPr>
          <w:rFonts w:eastAsiaTheme="minorEastAsia"/>
        </w:rPr>
        <w:t xml:space="preserve">and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d</m:t>
                    </m:r>
                  </m:sub>
                </m:sSub>
              </m:e>
            </m:d>
          </m:e>
        </m:func>
      </m:oMath>
      <w:r>
        <w:rPr>
          <w:rFonts w:eastAsiaTheme="minorEastAsia"/>
        </w:rPr>
        <w:t xml:space="preserve"> is the maximum distance possible in a </w:t>
      </w:r>
      <w:r w:rsidR="00B834A8">
        <w:rPr>
          <w:rFonts w:eastAsiaTheme="minorEastAsia"/>
        </w:rPr>
        <w:t>mission space</w:t>
      </w:r>
      <w:r w:rsidR="00EF6BE3">
        <w:rPr>
          <w:rFonts w:eastAsiaTheme="minorEastAsia"/>
        </w:rPr>
        <w:t xml:space="preserve"> </w:t>
      </w:r>
      <w:r>
        <w:rPr>
          <w:rFonts w:eastAsiaTheme="minorEastAsia"/>
        </w:rPr>
        <w:t xml:space="preserve">of </w:t>
      </w:r>
      <m:oMath>
        <m:r>
          <w:rPr>
            <w:rFonts w:ascii="Cambria Math" w:eastAsiaTheme="minorEastAsia" w:hAnsi="Cambria Math"/>
          </w:rPr>
          <m:t>d</m:t>
        </m:r>
      </m:oMath>
      <w:r>
        <w:rPr>
          <w:rFonts w:eastAsiaTheme="minorEastAsia"/>
        </w:rPr>
        <w:t xml:space="preserve"> dimensions with normalized factor ranges,</w:t>
      </w:r>
      <w:r w:rsidR="008B3A65">
        <w:rPr>
          <w:rFonts w:eastAsiaTheme="minorEastAsia"/>
        </w:rPr>
        <w:t xml:space="preserve"> and is equal </w:t>
      </w:r>
      <w:r w:rsidR="008B3A65" w:rsidRPr="009858A3">
        <w:rPr>
          <w:rFonts w:eastAsiaTheme="minorEastAsia"/>
          <w:szCs w:val="22"/>
        </w:rPr>
        <w:t>to</w:t>
      </w:r>
      <w:r w:rsidRPr="00CC5C27">
        <w:rPr>
          <w:rFonts w:eastAsiaTheme="minorEastAsia"/>
          <w:szCs w:val="22"/>
        </w:rPr>
        <w:t xml:space="preserve"> </w:t>
      </w:r>
      <m:oMath>
        <m:rad>
          <m:radPr>
            <m:degHide m:val="1"/>
            <m:ctrlPr>
              <w:rPr>
                <w:rFonts w:ascii="Cambria Math" w:hAnsi="Cambria Math"/>
                <w:i/>
                <w:szCs w:val="22"/>
              </w:rPr>
            </m:ctrlPr>
          </m:radPr>
          <m:deg/>
          <m:e>
            <m:r>
              <w:rPr>
                <w:rFonts w:ascii="Cambria Math" w:hAnsi="Cambria Math"/>
                <w:szCs w:val="22"/>
              </w:rPr>
              <m:t>d</m:t>
            </m:r>
          </m:e>
        </m:rad>
      </m:oMath>
      <w:r w:rsidR="008B3A65" w:rsidRPr="00EB0429">
        <w:rPr>
          <w:rFonts w:eastAsiaTheme="minorEastAsia"/>
          <w:szCs w:val="22"/>
        </w:rPr>
        <w:t xml:space="preserve"> when no </w:t>
      </w:r>
      <w:r w:rsidR="008B3A65" w:rsidRPr="009858A3">
        <w:rPr>
          <w:rFonts w:eastAsiaTheme="minorEastAsia"/>
          <w:szCs w:val="22"/>
        </w:rPr>
        <w:t>constraints</w:t>
      </w:r>
      <w:r w:rsidR="008B3A65">
        <w:rPr>
          <w:rFonts w:eastAsiaTheme="minorEastAsia"/>
          <w:szCs w:val="22"/>
        </w:rPr>
        <w:t xml:space="preserve"> on the </w:t>
      </w:r>
      <w:r w:rsidR="00B834A8">
        <w:rPr>
          <w:rFonts w:eastAsiaTheme="minorEastAsia"/>
          <w:szCs w:val="22"/>
        </w:rPr>
        <w:t>mission space</w:t>
      </w:r>
      <w:r w:rsidR="008B3A65">
        <w:rPr>
          <w:rFonts w:eastAsiaTheme="minorEastAsia"/>
          <w:szCs w:val="22"/>
        </w:rPr>
        <w:t xml:space="preserve"> are</w:t>
      </w:r>
      <w:r w:rsidR="008B3A65" w:rsidRPr="008B3A65">
        <w:rPr>
          <w:rFonts w:eastAsiaTheme="minorEastAsia"/>
          <w:szCs w:val="22"/>
        </w:rPr>
        <w:t xml:space="preserve"> </w:t>
      </w:r>
      <w:r w:rsidR="008B3A65">
        <w:rPr>
          <w:rFonts w:eastAsiaTheme="minorEastAsia"/>
          <w:szCs w:val="22"/>
        </w:rPr>
        <w:t>present.</w:t>
      </w:r>
    </w:p>
    <w:p w14:paraId="1A60FA93" w14:textId="77777777" w:rsidR="00392541" w:rsidRDefault="00392541" w:rsidP="00392541">
      <w:pPr>
        <w:pStyle w:val="BodyText"/>
      </w:pPr>
    </w:p>
    <w:p w14:paraId="1579AB01" w14:textId="44FC4D4E" w:rsidR="00392541" w:rsidRDefault="008422FC" w:rsidP="00EB0429">
      <w:pPr>
        <w:pStyle w:val="BodyText"/>
        <w:tabs>
          <w:tab w:val="center" w:pos="4680"/>
          <w:tab w:val="right" w:pos="9360"/>
        </w:tabs>
      </w:pPr>
      <w:r>
        <w:rPr>
          <w:rFonts w:eastAsiaTheme="minorEastAsia"/>
        </w:rPr>
        <w:tab/>
      </w:r>
      <m:oMath>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=1-</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r</m:t>
                    </m:r>
                  </m:e>
                  <m:sub>
                    <m:r>
                      <w:rPr>
                        <w:rFonts w:ascii="Cambria Math" w:hAnsi="Cambria Math"/>
                      </w:rPr>
                      <m:t>i</m:t>
                    </m:r>
                  </m:sub>
                </m:sSub>
              </m:e>
            </m:nary>
            <m:r>
              <m:rPr>
                <m:nor/>
              </m:rPr>
              <w:rPr>
                <w:rFonts w:ascii="Cambria Math" w:hAnsi="Cambria Math"/>
              </w:rPr>
              <m:t>/</m:t>
            </m:r>
            <m:r>
              <w:rPr>
                <w:rFonts w:ascii="Cambria Math" w:hAnsi="Cambria Math"/>
              </w:rPr>
              <m:t xml:space="preserve">q </m:t>
            </m:r>
          </m:num>
          <m:den>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d</m:t>
                        </m:r>
                      </m:sub>
                    </m:sSub>
                  </m:e>
                </m:d>
              </m:e>
            </m:func>
          </m:den>
        </m:f>
      </m:oMath>
      <w:r>
        <w:rPr>
          <w:rFonts w:eastAsiaTheme="minorEastAsia"/>
        </w:rPr>
        <w:tab/>
      </w:r>
      <w:r w:rsidR="00392541">
        <w:rPr>
          <w:rFonts w:eastAsiaTheme="minorEastAsia"/>
        </w:rPr>
        <w:t>(3.4)</w:t>
      </w:r>
    </w:p>
    <w:p w14:paraId="77A1F16B" w14:textId="77777777" w:rsidR="00392541" w:rsidRDefault="00392541" w:rsidP="00392541">
      <w:pPr>
        <w:pStyle w:val="BodyText"/>
      </w:pPr>
    </w:p>
    <w:p w14:paraId="1AB78E95" w14:textId="35C5B3FE" w:rsidR="00392541" w:rsidRDefault="00392541" w:rsidP="00392541">
      <w:pPr>
        <w:pStyle w:val="BodyText"/>
      </w:pPr>
      <w:r>
        <w:t xml:space="preserve">While this metric presents a picture of density scaled from 0 to 1, it suffers from </w:t>
      </w:r>
      <w:r w:rsidR="00720E05">
        <w:t xml:space="preserve">some </w:t>
      </w:r>
      <w:r>
        <w:t xml:space="preserve">undesirable qualities. Notably, it grants </w:t>
      </w:r>
      <w:r w:rsidR="00DF4283">
        <w:t>considerable coverage</w:t>
      </w:r>
      <w:r>
        <w:t xml:space="preserve"> even when data is far from a</w:t>
      </w:r>
      <w:r w:rsidR="0006019D">
        <w:t>n</w:t>
      </w:r>
      <w:r>
        <w:t xml:space="preserve"> </w:t>
      </w:r>
      <w:r w:rsidR="0006019D">
        <w:rPr>
          <w:rFonts w:eastAsiaTheme="minorEastAsia"/>
        </w:rPr>
        <w:t xml:space="preserve">assessment </w:t>
      </w:r>
      <w:r>
        <w:t>point. For instance, a</w:t>
      </w:r>
      <w:r w:rsidR="0006019D">
        <w:t>n</w:t>
      </w:r>
      <w:r>
        <w:t xml:space="preserve"> </w:t>
      </w:r>
      <w:r w:rsidR="0006019D">
        <w:rPr>
          <w:rFonts w:eastAsiaTheme="minorEastAsia"/>
        </w:rPr>
        <w:t xml:space="preserve">assessment </w:t>
      </w:r>
      <w:r>
        <w:t xml:space="preserve">point in the middle of our space will have a scaled distance value no smaller than 0.5 if there is a data point anywhere in the scope region. This contributes </w:t>
      </w:r>
      <w:r w:rsidR="00DF4283" w:rsidRPr="00DF4283">
        <w:t>to sparse referent coverage resulting in inflated density score</w:t>
      </w:r>
      <w:r w:rsidR="00DF4283">
        <w:t>s.</w:t>
      </w:r>
      <w:r>
        <w:t xml:space="preserve"> Similarly, even data that is very close to a</w:t>
      </w:r>
      <w:r w:rsidR="0006019D">
        <w:t>n</w:t>
      </w:r>
      <w:r>
        <w:t xml:space="preserve"> </w:t>
      </w:r>
      <w:r w:rsidR="0006019D">
        <w:rPr>
          <w:rFonts w:eastAsiaTheme="minorEastAsia"/>
        </w:rPr>
        <w:t>assessment</w:t>
      </w:r>
      <w:r>
        <w:t xml:space="preserve"> point results i</w:t>
      </w:r>
      <w:r w:rsidR="000071BA">
        <w:t>n</w:t>
      </w:r>
      <w:r>
        <w:t xml:space="preserve"> a penalt</w:t>
      </w:r>
      <w:r w:rsidR="003221BA">
        <w:t>y which causes very dense, well-</w:t>
      </w:r>
      <w:r>
        <w:t>filled spaces to receive understated density scores. For example, data spread by a Latin Hypercube method, which fills the scope by design, results in mediocre density metrics. The correction for th</w:t>
      </w:r>
      <w:r w:rsidR="00720E05">
        <w:t>ese two problems</w:t>
      </w:r>
      <w:r>
        <w:t xml:space="preserve"> is to establish </w:t>
      </w:r>
      <w:r w:rsidR="009858A3">
        <w:t xml:space="preserve">maximum </w:t>
      </w:r>
      <w:r>
        <w:t xml:space="preserve">and </w:t>
      </w:r>
      <w:r w:rsidR="009858A3">
        <w:t xml:space="preserve">minimum </w:t>
      </w:r>
      <w:r>
        <w:t>distances</w:t>
      </w:r>
      <w:r w:rsidR="009858A3">
        <w:t xml:space="preserve">, </w:t>
      </w:r>
      <m:oMath>
        <m:r>
          <w:rPr>
            <w:rFonts w:ascii="Cambria Math" w:hAnsi="Cambria Math"/>
            <w:sz w:val="20"/>
          </w:rPr>
          <m:t>M</m:t>
        </m:r>
      </m:oMath>
      <w:r w:rsidR="009858A3">
        <w:rPr>
          <w:rFonts w:eastAsiaTheme="minorEastAsia"/>
          <w:sz w:val="20"/>
        </w:rPr>
        <w:t xml:space="preserve"> and </w:t>
      </w:r>
      <m:oMath>
        <m:r>
          <w:rPr>
            <w:rFonts w:ascii="Cambria Math" w:hAnsi="Cambria Math"/>
            <w:sz w:val="20"/>
          </w:rPr>
          <m:t>L</m:t>
        </m:r>
      </m:oMath>
      <w:r w:rsidR="009858A3">
        <w:t xml:space="preserve">, where </w:t>
      </w:r>
      <m:oMath>
        <m:r>
          <w:rPr>
            <w:rFonts w:ascii="Cambria Math" w:hAnsi="Cambria Math"/>
            <w:sz w:val="20"/>
          </w:rPr>
          <m:t>M</m:t>
        </m:r>
      </m:oMath>
      <w:r w:rsidR="009858A3">
        <w:t xml:space="preserve"> is the distance beyond which no coverage is awarded and </w:t>
      </w:r>
      <m:oMath>
        <m:r>
          <w:rPr>
            <w:rFonts w:ascii="Cambria Math" w:hAnsi="Cambria Math"/>
            <w:sz w:val="20"/>
          </w:rPr>
          <m:t>L</m:t>
        </m:r>
      </m:oMath>
      <w:r w:rsidR="009858A3">
        <w:t xml:space="preserve"> is the distance within which perfect coverage is awarded</w:t>
      </w:r>
      <w:r>
        <w:t xml:space="preserve">. For maximum distance, the proposed distance is </w:t>
      </w:r>
      <m:oMath>
        <m:r>
          <w:rPr>
            <w:rFonts w:ascii="Cambria Math" w:hAnsi="Cambria Math"/>
            <w:sz w:val="20"/>
          </w:rPr>
          <m:t>M=</m:t>
        </m:r>
        <m:rad>
          <m:radPr>
            <m:degHide m:val="1"/>
            <m:ctrlPr>
              <w:rPr>
                <w:rFonts w:ascii="Cambria Math" w:hAnsi="Cambria Math"/>
                <w:i/>
                <w:sz w:val="20"/>
              </w:rPr>
            </m:ctrlPr>
          </m:radPr>
          <m:deg/>
          <m:e>
            <m:r>
              <w:rPr>
                <w:rFonts w:ascii="Cambria Math" w:hAnsi="Cambria Math"/>
                <w:sz w:val="20"/>
              </w:rPr>
              <m:t>d</m:t>
            </m:r>
          </m:e>
        </m:rad>
        <m:r>
          <w:rPr>
            <w:rFonts w:ascii="Cambria Math" w:hAnsi="Cambria Math"/>
            <w:sz w:val="20"/>
          </w:rPr>
          <m:t>/2</m:t>
        </m:r>
      </m:oMath>
      <w:r w:rsidR="009C1CCC">
        <w:rPr>
          <w:rFonts w:eastAsiaTheme="minorEastAsia"/>
        </w:rPr>
        <w:t xml:space="preserve">, </w:t>
      </w:r>
      <w:r>
        <w:rPr>
          <w:rFonts w:eastAsiaTheme="minorEastAsia"/>
        </w:rPr>
        <w:t xml:space="preserve">which is the distance to ensure that the center of the scope inherits no coverage from corner points. For minimum distance, </w:t>
      </w:r>
      <w:r>
        <w:t xml:space="preserve">the proposed distance is </w:t>
      </w:r>
      <m:oMath>
        <m:r>
          <w:rPr>
            <w:rFonts w:ascii="Cambria Math" w:hAnsi="Cambria Math"/>
            <w:sz w:val="20"/>
          </w:rPr>
          <m:t>L=</m:t>
        </m:r>
        <m:rad>
          <m:radPr>
            <m:degHide m:val="1"/>
            <m:ctrlPr>
              <w:rPr>
                <w:rFonts w:ascii="Cambria Math" w:hAnsi="Cambria Math"/>
                <w:i/>
                <w:sz w:val="20"/>
              </w:rPr>
            </m:ctrlPr>
          </m:radPr>
          <m:deg/>
          <m:e>
            <m:r>
              <w:rPr>
                <w:rFonts w:ascii="Cambria Math" w:hAnsi="Cambria Math"/>
                <w:sz w:val="20"/>
              </w:rPr>
              <m:t>d</m:t>
            </m:r>
          </m:e>
        </m:rad>
        <m:r>
          <w:rPr>
            <w:rFonts w:ascii="Cambria Math" w:hAnsi="Cambria Math"/>
            <w:sz w:val="20"/>
          </w:rPr>
          <m:t>/6</m:t>
        </m:r>
      </m:oMath>
      <w:r>
        <w:rPr>
          <w:rFonts w:eastAsiaTheme="minorEastAsia"/>
        </w:rPr>
        <w:t>, which was chosen by simulation as a favorable balance where Latin Hypercube</w:t>
      </w:r>
      <w:r w:rsidR="009858A3">
        <w:rPr>
          <w:rFonts w:eastAsiaTheme="minorEastAsia"/>
        </w:rPr>
        <w:t xml:space="preserve"> designs</w:t>
      </w:r>
      <w:r>
        <w:rPr>
          <w:rFonts w:eastAsiaTheme="minorEastAsia"/>
        </w:rPr>
        <w:t xml:space="preserve"> receive favorable density metrics, and </w:t>
      </w:r>
      <w:r w:rsidR="002A7A5E">
        <w:rPr>
          <w:rFonts w:eastAsiaTheme="minorEastAsia"/>
        </w:rPr>
        <w:t>f</w:t>
      </w:r>
      <w:r>
        <w:rPr>
          <w:rFonts w:eastAsiaTheme="minorEastAsia"/>
        </w:rPr>
        <w:t>ull</w:t>
      </w:r>
      <w:r w:rsidR="002A7A5E">
        <w:rPr>
          <w:rFonts w:eastAsiaTheme="minorEastAsia"/>
        </w:rPr>
        <w:t>-</w:t>
      </w:r>
      <w:r>
        <w:rPr>
          <w:rFonts w:eastAsiaTheme="minorEastAsia"/>
        </w:rPr>
        <w:t>factorial designs, where data is located only at the corners, receive unfavorable density metrics. Between these minim</w:t>
      </w:r>
      <w:r w:rsidR="009C1CCC">
        <w:rPr>
          <w:rFonts w:eastAsiaTheme="minorEastAsia"/>
        </w:rPr>
        <w:t>um</w:t>
      </w:r>
      <w:r>
        <w:rPr>
          <w:rFonts w:eastAsiaTheme="minorEastAsia"/>
        </w:rPr>
        <w:t xml:space="preserve"> and maxim</w:t>
      </w:r>
      <w:r w:rsidR="009C1CCC">
        <w:rPr>
          <w:rFonts w:eastAsiaTheme="minorEastAsia"/>
        </w:rPr>
        <w:t>um</w:t>
      </w:r>
      <w:r>
        <w:rPr>
          <w:rFonts w:eastAsiaTheme="minorEastAsia"/>
        </w:rPr>
        <w:t xml:space="preserve"> points, distance is awarded a coverage sc</w:t>
      </w:r>
      <w:r w:rsidR="0006019D">
        <w:rPr>
          <w:rFonts w:eastAsiaTheme="minorEastAsia"/>
        </w:rPr>
        <w:t>ore according to a linear scale. Then, the coverage scores are averaged among</w:t>
      </w:r>
      <w:r w:rsidR="0006019D">
        <w:rPr>
          <w:rFonts w:eastAsiaTheme="minorEastAsia"/>
          <w:i/>
        </w:rPr>
        <w:t xml:space="preserve"> </w:t>
      </w:r>
      <m:oMath>
        <m:r>
          <w:rPr>
            <w:rFonts w:ascii="Cambria Math" w:eastAsiaTheme="minorEastAsia" w:hAnsi="Cambria Math"/>
          </w:rPr>
          <m:t>q</m:t>
        </m:r>
      </m:oMath>
      <w:r w:rsidR="0006019D" w:rsidRPr="00EB0429">
        <w:rPr>
          <w:rFonts w:eastAsiaTheme="minorEastAsia"/>
        </w:rPr>
        <w:t xml:space="preserve"> </w:t>
      </w:r>
      <w:r w:rsidR="0006019D">
        <w:rPr>
          <w:rFonts w:eastAsiaTheme="minorEastAsia"/>
        </w:rPr>
        <w:t>assessment points for an overall coverage metric,</w:t>
      </w:r>
      <w:r>
        <w:rPr>
          <w:rFonts w:eastAsiaTheme="minorEastAsia"/>
        </w:rPr>
        <w:t xml:space="preserve"> as seen in Equation 3.5.</w:t>
      </w:r>
    </w:p>
    <w:p w14:paraId="0EE5B596" w14:textId="77777777" w:rsidR="00392541" w:rsidRDefault="00392541" w:rsidP="00392541">
      <w:pPr>
        <w:pStyle w:val="BodyText"/>
      </w:pPr>
    </w:p>
    <w:p w14:paraId="1D73EB99" w14:textId="7AD8A3AE" w:rsidR="00392541" w:rsidRDefault="008422FC" w:rsidP="00EB0429">
      <w:pPr>
        <w:pStyle w:val="BodyText"/>
        <w:tabs>
          <w:tab w:val="center" w:pos="4680"/>
          <w:tab w:val="right" w:pos="9360"/>
        </w:tabs>
      </w:pPr>
      <w:r>
        <w:rPr>
          <w:rFonts w:eastAsiaTheme="minorEastAsia"/>
        </w:rPr>
        <w:tab/>
      </w:r>
      <m:oMath>
        <m:sSub>
          <m:sSubPr>
            <m:ctrlPr>
              <w:rPr>
                <w:rFonts w:ascii="Cambria Math" w:hAnsi="Cambria Math"/>
                <w:i/>
              </w:rPr>
            </m:ctrlPr>
          </m:sSubPr>
          <m:e>
            <m:r>
              <w:rPr>
                <w:rFonts w:ascii="Cambria Math" w:hAnsi="Cambria Math"/>
              </w:rPr>
              <m:t>C</m:t>
            </m:r>
          </m:e>
          <m:sub>
            <m:r>
              <m:rPr>
                <m:sty m:val="p"/>
              </m:rP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q</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q</m:t>
            </m:r>
          </m:sup>
          <m:e>
            <m:sSub>
              <m:sSubPr>
                <m:ctrlPr>
                  <w:rPr>
                    <w:rFonts w:ascii="Cambria Math" w:hAnsi="Cambria Math"/>
                    <w:i/>
                  </w:rPr>
                </m:ctrlPr>
              </m:sSubPr>
              <m:e>
                <m:r>
                  <w:rPr>
                    <w:rFonts w:ascii="Cambria Math" w:hAnsi="Cambria Math"/>
                  </w:rPr>
                  <m:t>c</m:t>
                </m:r>
              </m:e>
              <m:sub>
                <m:r>
                  <w:rPr>
                    <w:rFonts w:ascii="Cambria Math" w:hAnsi="Cambria Math"/>
                  </w:rPr>
                  <m:t>i</m:t>
                </m:r>
              </m:sub>
            </m:sSub>
          </m:e>
        </m:nary>
        <m:r>
          <w:rPr>
            <w:rFonts w:ascii="Cambria Math" w:hAnsi="Cambria Math"/>
          </w:rPr>
          <m:t xml:space="preserve">   </m:t>
        </m:r>
        <m:r>
          <m:rPr>
            <m:sty m:val="p"/>
          </m:rPr>
          <w:rPr>
            <w:rFonts w:ascii="Cambria Math" w:hAnsi="Cambria Math"/>
          </w:rPr>
          <m:t>where</m:t>
        </m:r>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m:rPr>
                      <m:sty m:val="p"/>
                    </m:rPr>
                    <w:rPr>
                      <w:rFonts w:ascii="Cambria Math" w:hAnsi="Cambria Math"/>
                    </w:rPr>
                    <m:t xml:space="preserve">for </m:t>
                  </m:r>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≤L</m:t>
                  </m:r>
                </m:e>
              </m:mr>
              <m:m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m:t>
                      </m:r>
                    </m:num>
                    <m:den>
                      <m:r>
                        <w:rPr>
                          <w:rFonts w:ascii="Cambria Math" w:hAnsi="Cambria Math"/>
                        </w:rPr>
                        <m:t>L-M</m:t>
                      </m:r>
                    </m:den>
                  </m:f>
                </m:e>
                <m:e>
                  <m:r>
                    <m:rPr>
                      <m:sty m:val="p"/>
                    </m:rPr>
                    <w:rPr>
                      <w:rFonts w:ascii="Cambria Math" w:hAnsi="Cambria Math"/>
                    </w:rPr>
                    <m:t>for</m:t>
                  </m:r>
                  <m:r>
                    <w:rPr>
                      <w:rFonts w:ascii="Cambria Math" w:hAnsi="Cambria Math"/>
                    </w:rPr>
                    <m:t xml:space="preserve">    L&lt;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m:t>
                  </m:r>
                </m:e>
              </m:mr>
              <m:mr>
                <m:e>
                  <m:r>
                    <w:rPr>
                      <w:rFonts w:ascii="Cambria Math" w:hAnsi="Cambria Math"/>
                    </w:rPr>
                    <m:t>0</m:t>
                  </m:r>
                </m:e>
                <m:e>
                  <m:r>
                    <m:rPr>
                      <m:sty m:val="p"/>
                    </m:rPr>
                    <w:rPr>
                      <w:rFonts w:ascii="Cambria Math" w:hAnsi="Cambria Math"/>
                    </w:rPr>
                    <m:t>for</m:t>
                  </m:r>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&gt;M</m:t>
                  </m:r>
                </m:e>
              </m:mr>
            </m:m>
          </m:e>
        </m:d>
      </m:oMath>
      <w:r>
        <w:rPr>
          <w:rFonts w:eastAsiaTheme="minorEastAsia"/>
        </w:rPr>
        <w:tab/>
        <w:t>(</w:t>
      </w:r>
      <w:r w:rsidR="00392541">
        <w:rPr>
          <w:rFonts w:eastAsiaTheme="minorEastAsia"/>
        </w:rPr>
        <w:t>3.5)</w:t>
      </w:r>
    </w:p>
    <w:p w14:paraId="4DEFA883" w14:textId="7859B566" w:rsidR="00392541" w:rsidRDefault="00392541" w:rsidP="00392541">
      <w:pPr>
        <w:pStyle w:val="BodyText"/>
      </w:pPr>
    </w:p>
    <w:p w14:paraId="7E208D51" w14:textId="77777777" w:rsidR="00392541" w:rsidRDefault="00392541" w:rsidP="00392541">
      <w:pPr>
        <w:pStyle w:val="APALevelHeading2"/>
      </w:pPr>
      <w:bookmarkStart w:id="21" w:name="_Toc108514037"/>
      <w:bookmarkStart w:id="22" w:name="_Toc111627600"/>
      <w:r w:rsidRPr="00392541">
        <w:rPr>
          <w:rFonts w:cs="Arial"/>
          <w:sz w:val="24"/>
          <w:szCs w:val="24"/>
        </w:rPr>
        <w:t>Considerations for a Combined Metric</w:t>
      </w:r>
      <w:bookmarkEnd w:id="21"/>
      <w:bookmarkEnd w:id="22"/>
    </w:p>
    <w:p w14:paraId="41DA6A91" w14:textId="77777777" w:rsidR="00392541" w:rsidRDefault="00392541" w:rsidP="00392541">
      <w:pPr>
        <w:pStyle w:val="BodyText"/>
      </w:pPr>
    </w:p>
    <w:p w14:paraId="7337062D" w14:textId="640C4AB6" w:rsidR="00392541" w:rsidRDefault="00392541" w:rsidP="00392541">
      <w:pPr>
        <w:pStyle w:val="BodyText"/>
      </w:pPr>
      <w:r>
        <w:t xml:space="preserve">The separate pillars of fidelity, referent authority, and scope are inherently </w:t>
      </w:r>
      <w:r w:rsidR="00A35E40">
        <w:t xml:space="preserve">related, but their mathematical considerations are </w:t>
      </w:r>
      <w:r>
        <w:t>disjoint. Fidelity is measured at single points in space and separate measures of fidelity must be made and accumulated in a discussion of scope.</w:t>
      </w:r>
      <w:r w:rsidR="002A7A5E">
        <w:t xml:space="preserve"> </w:t>
      </w:r>
      <w:r>
        <w:t xml:space="preserve">Referent authority is assessed independent of spatial </w:t>
      </w:r>
      <w:r w:rsidR="002A7A5E">
        <w:t>considerations but</w:t>
      </w:r>
      <w:r>
        <w:t xml:space="preserve"> must be examined against scope as some referents are only </w:t>
      </w:r>
      <w:r w:rsidR="009C1CCC">
        <w:t xml:space="preserve">available </w:t>
      </w:r>
      <w:r>
        <w:t xml:space="preserve">within a </w:t>
      </w:r>
      <w:r w:rsidR="00AE6CF1">
        <w:t xml:space="preserve">limited </w:t>
      </w:r>
      <w:r>
        <w:t>mission space. Fidelity and referent authority have interplay in their calculations as we accumulate multiple referents to generate a single</w:t>
      </w:r>
      <w:r w:rsidR="002A7A5E">
        <w:t>-</w:t>
      </w:r>
      <w:r>
        <w:t>fidelity calculation at a given space, but only part of the referent authority considerations are incorporated in such calculations. Care must be taken to address all considerations for fidelity, referent authority, and scope in a single MVL measure.</w:t>
      </w:r>
    </w:p>
    <w:p w14:paraId="20F4F3D2" w14:textId="77777777" w:rsidR="00392541" w:rsidRDefault="00392541" w:rsidP="00392541">
      <w:pPr>
        <w:pStyle w:val="BodyText"/>
      </w:pPr>
    </w:p>
    <w:p w14:paraId="5BE56495" w14:textId="077F8899" w:rsidR="000B18FC" w:rsidRDefault="00392541" w:rsidP="00392541">
      <w:pPr>
        <w:pStyle w:val="BodyText"/>
      </w:pPr>
      <w:r>
        <w:t>A successful</w:t>
      </w:r>
      <w:r w:rsidR="002A7A5E">
        <w:t>ly</w:t>
      </w:r>
      <w:r>
        <w:t xml:space="preserve"> combined MV</w:t>
      </w:r>
      <w:r w:rsidRPr="00356952">
        <w:t>L must have several properties.</w:t>
      </w:r>
      <w:r w:rsidR="000B18FC">
        <w:t xml:space="preserve"> It must:</w:t>
      </w:r>
    </w:p>
    <w:p w14:paraId="6CFFE662" w14:textId="5EBA0304" w:rsidR="000B18FC" w:rsidRDefault="000B18FC" w:rsidP="000B18FC">
      <w:pPr>
        <w:pStyle w:val="BodyText"/>
        <w:numPr>
          <w:ilvl w:val="0"/>
          <w:numId w:val="11"/>
        </w:numPr>
      </w:pPr>
      <w:r w:rsidRPr="00356952">
        <w:t>assess fidelity of a model using the full body of knowledge or the whole set of relevant referents available</w:t>
      </w:r>
      <w:r>
        <w:t xml:space="preserve"> across the mission space</w:t>
      </w:r>
    </w:p>
    <w:p w14:paraId="195296F5" w14:textId="49189BC2" w:rsidR="000B18FC" w:rsidRDefault="000B18FC" w:rsidP="000B18FC">
      <w:pPr>
        <w:pStyle w:val="BodyText"/>
        <w:numPr>
          <w:ilvl w:val="0"/>
          <w:numId w:val="11"/>
        </w:numPr>
      </w:pPr>
      <w:r w:rsidRPr="00356952">
        <w:t>weigh the fidelity assessment according to the level of trust or authority that can be placed on the referents</w:t>
      </w:r>
      <w:r>
        <w:t xml:space="preserve"> that validation will consider</w:t>
      </w:r>
    </w:p>
    <w:p w14:paraId="38EDFB12" w14:textId="687DC8AE" w:rsidR="000B18FC" w:rsidRDefault="000B18FC" w:rsidP="000B18FC">
      <w:pPr>
        <w:pStyle w:val="BodyText"/>
        <w:numPr>
          <w:ilvl w:val="0"/>
          <w:numId w:val="11"/>
        </w:numPr>
      </w:pPr>
      <w:r w:rsidRPr="00356952">
        <w:lastRenderedPageBreak/>
        <w:t xml:space="preserve">penalize a model if the entire </w:t>
      </w:r>
      <w:r w:rsidR="00B834A8">
        <w:t>mission space</w:t>
      </w:r>
      <w:r w:rsidRPr="00356952">
        <w:t xml:space="preserve"> is not supported by referent knowledge or if there is an insufficient amount of support </w:t>
      </w:r>
      <w:r>
        <w:t xml:space="preserve">across the </w:t>
      </w:r>
      <w:r w:rsidR="00B834A8">
        <w:t>mission space</w:t>
      </w:r>
    </w:p>
    <w:p w14:paraId="714C908E" w14:textId="199DD519" w:rsidR="000B18FC" w:rsidRDefault="000B18FC" w:rsidP="00EB0429">
      <w:pPr>
        <w:pStyle w:val="BodyText"/>
        <w:numPr>
          <w:ilvl w:val="0"/>
          <w:numId w:val="11"/>
        </w:numPr>
      </w:pPr>
      <w:r w:rsidRPr="00356952">
        <w:t>be presentable in a concise, i</w:t>
      </w:r>
      <w:r w:rsidR="00B834A8">
        <w:t>nterpretable,</w:t>
      </w:r>
      <w:r w:rsidR="003221BA">
        <w:t xml:space="preserve"> and</w:t>
      </w:r>
      <w:r w:rsidR="00B834A8">
        <w:t xml:space="preserve"> actionable manner</w:t>
      </w:r>
      <w:r>
        <w:t xml:space="preserve"> </w:t>
      </w:r>
    </w:p>
    <w:p w14:paraId="703A8259" w14:textId="50BC2A16" w:rsidR="00392541" w:rsidRDefault="00392541" w:rsidP="00392541">
      <w:pPr>
        <w:pStyle w:val="BodyText"/>
      </w:pPr>
      <w:r>
        <w:t xml:space="preserve">The proposed method of </w:t>
      </w:r>
      <w:r w:rsidR="00661795">
        <w:t xml:space="preserve">implementing </w:t>
      </w:r>
      <w:r>
        <w:t xml:space="preserve">the metrics and mathematical constructs in this paper in a single </w:t>
      </w:r>
      <w:r w:rsidR="00661795">
        <w:t xml:space="preserve">MVL </w:t>
      </w:r>
      <w:r>
        <w:t xml:space="preserve">assessment metric will be discussed in a future </w:t>
      </w:r>
      <w:r w:rsidR="0063381C">
        <w:t>Best P</w:t>
      </w:r>
      <w:r w:rsidR="00661795">
        <w:t>ractice. Along with this best practice, the STAT COE wil</w:t>
      </w:r>
      <w:r w:rsidR="00401502">
        <w:t>l provide a coded tool</w:t>
      </w:r>
      <w:r w:rsidR="00661795">
        <w:t xml:space="preserve"> to automate the </w:t>
      </w:r>
      <w:r w:rsidR="00401502">
        <w:t xml:space="preserve">MVL process as well as a guide to using the tool and </w:t>
      </w:r>
      <w:r w:rsidR="00661795">
        <w:t>a Case Study of MVL implementation in a specific program.</w:t>
      </w:r>
      <w:r w:rsidR="00661795" w:rsidDel="00661795">
        <w:t xml:space="preserve"> </w:t>
      </w:r>
    </w:p>
    <w:p w14:paraId="03E0CCDE" w14:textId="6E24CE63" w:rsidR="005D46D8" w:rsidRDefault="005D46D8" w:rsidP="00DE3C84">
      <w:pPr>
        <w:pStyle w:val="BodyText"/>
        <w:rPr>
          <w:rStyle w:val="Strong"/>
          <w:b w:val="0"/>
          <w:bCs w:val="0"/>
          <w:szCs w:val="22"/>
        </w:rPr>
      </w:pPr>
    </w:p>
    <w:p w14:paraId="32BE1976" w14:textId="64131660" w:rsidR="003A42BE" w:rsidRPr="005D46D8" w:rsidRDefault="004C01D7" w:rsidP="004C01D7">
      <w:pPr>
        <w:pStyle w:val="APALevelHeading2"/>
      </w:pPr>
      <w:bookmarkStart w:id="23" w:name="_Toc111627601"/>
      <w:r w:rsidRPr="005D46D8">
        <w:t>Conclusion</w:t>
      </w:r>
      <w:bookmarkEnd w:id="23"/>
      <w:r w:rsidR="005E7EAC">
        <w:rPr>
          <w:rFonts w:cs="Arial"/>
          <w:b w:val="0"/>
          <w:bCs/>
          <w:szCs w:val="22"/>
        </w:rPr>
        <w:br/>
      </w:r>
    </w:p>
    <w:p w14:paraId="06AA75E2" w14:textId="3E80F9BB" w:rsidR="003A42BE" w:rsidRDefault="00392541">
      <w:pPr>
        <w:rPr>
          <w:rFonts w:eastAsiaTheme="majorEastAsia"/>
          <w:b/>
          <w:sz w:val="24"/>
          <w:szCs w:val="24"/>
        </w:rPr>
      </w:pPr>
      <w:r w:rsidRPr="00392541">
        <w:rPr>
          <w:rStyle w:val="Strong"/>
          <w:b w:val="0"/>
          <w:bCs w:val="0"/>
          <w:szCs w:val="18"/>
        </w:rPr>
        <w:t>As the DOD engineers defense systems of increasing complexity and comes to rely on M&amp;S to understand and develop those systems, it is imperative that the models developed are well understood and trustworthy to minimize any risk introduced by the use of models in place of physical articles. Validation is the process which establishes the level of trust that can be placed in a model to represent the associated physical system. However, in practice, validation is often a subjective process resulting in a binary indicator of validity which grants the model validity for its entire lifetime without reassessment. MVLs address these problems and provide a rigorous validation framework that can be quickly, repeatedly applied to the wide variety of M&amp;S in the DOD. MVLs will enable DOD</w:t>
      </w:r>
      <w:r w:rsidR="0063381C">
        <w:rPr>
          <w:rStyle w:val="Strong"/>
          <w:b w:val="0"/>
          <w:bCs w:val="0"/>
          <w:szCs w:val="18"/>
        </w:rPr>
        <w:t xml:space="preserve"> program m</w:t>
      </w:r>
      <w:r w:rsidRPr="00392541">
        <w:rPr>
          <w:rStyle w:val="Strong"/>
          <w:b w:val="0"/>
          <w:bCs w:val="0"/>
          <w:szCs w:val="18"/>
        </w:rPr>
        <w:t xml:space="preserve">anagers and M&amp;S developers to effectively employ M&amp;S in the engineering of complex defense systems with full comprehension of model capabilities and risk. </w:t>
      </w:r>
      <w:r w:rsidR="003A42BE">
        <w:rPr>
          <w:sz w:val="24"/>
          <w:szCs w:val="24"/>
        </w:rPr>
        <w:br w:type="page"/>
      </w:r>
    </w:p>
    <w:p w14:paraId="39ECE088" w14:textId="0DFB8F05" w:rsidR="00847924" w:rsidRDefault="00A12323" w:rsidP="00210D98">
      <w:pPr>
        <w:pStyle w:val="APALevelHeading2"/>
        <w:jc w:val="center"/>
        <w:rPr>
          <w:rFonts w:cs="Arial"/>
          <w:sz w:val="24"/>
          <w:szCs w:val="24"/>
        </w:rPr>
      </w:pPr>
      <w:bookmarkStart w:id="24" w:name="_Toc111627602"/>
      <w:r w:rsidRPr="00B21350">
        <w:rPr>
          <w:rFonts w:cs="Arial"/>
          <w:sz w:val="24"/>
          <w:szCs w:val="24"/>
        </w:rPr>
        <w:lastRenderedPageBreak/>
        <w:t>References</w:t>
      </w:r>
      <w:bookmarkEnd w:id="24"/>
    </w:p>
    <w:p w14:paraId="66EB37C2" w14:textId="411E1587" w:rsidR="00591FBD" w:rsidRDefault="00591FBD" w:rsidP="00210D98">
      <w:pPr>
        <w:pStyle w:val="APALevelHeading2"/>
        <w:rPr>
          <w:rFonts w:cs="Arial"/>
          <w:b w:val="0"/>
          <w:sz w:val="24"/>
          <w:szCs w:val="24"/>
        </w:rPr>
      </w:pPr>
    </w:p>
    <w:p w14:paraId="62E48EF8" w14:textId="283248BD" w:rsidR="009547AF" w:rsidRDefault="00392541" w:rsidP="00FC71CA">
      <w:pPr>
        <w:pStyle w:val="Bibliography"/>
        <w:ind w:left="720" w:hanging="720"/>
        <w:rPr>
          <w:bCs/>
          <w:noProof/>
        </w:rPr>
      </w:pPr>
      <w:r w:rsidRPr="001F1FEF">
        <w:rPr>
          <w:bCs/>
          <w:noProof/>
        </w:rPr>
        <w:fldChar w:fldCharType="begin"/>
      </w:r>
      <w:r w:rsidRPr="001F1FEF">
        <w:rPr>
          <w:bCs/>
          <w:noProof/>
        </w:rPr>
        <w:instrText xml:space="preserve"> BIBLIOGRAPHY </w:instrText>
      </w:r>
      <w:r w:rsidRPr="001F1FEF">
        <w:rPr>
          <w:bCs/>
          <w:noProof/>
        </w:rPr>
        <w:fldChar w:fldCharType="separate"/>
      </w:r>
      <w:r w:rsidRPr="001F1FEF">
        <w:rPr>
          <w:bCs/>
          <w:noProof/>
        </w:rPr>
        <w:t>Ahner, D. K., Jones, N., Key, M., Adams, W., Burke, S., &amp; Weeks, C. (2021). A Conceptual Framework for the Establishment of Model Readiness Levels. White Paper, Scientific Test &amp; Analysis Techniques Center of Excellence (STAT COE).</w:t>
      </w:r>
    </w:p>
    <w:p w14:paraId="434090A1" w14:textId="38C99046" w:rsidR="0023147A" w:rsidRDefault="0023147A" w:rsidP="00DE3C84"/>
    <w:p w14:paraId="27B09669" w14:textId="10DA584A" w:rsidR="0023147A" w:rsidRPr="00DE3C84" w:rsidRDefault="0023147A" w:rsidP="00DE3C84">
      <w:pPr>
        <w:pStyle w:val="Bibliography"/>
        <w:ind w:left="720" w:hanging="720"/>
        <w:rPr>
          <w:bCs/>
          <w:noProof/>
        </w:rPr>
      </w:pPr>
      <w:r w:rsidRPr="0023147A">
        <w:rPr>
          <w:bCs/>
          <w:noProof/>
        </w:rPr>
        <w:t>Atamturktur S, Hemez F, Unal C, William B (2009) Predictive maturity of computer models using function</w:t>
      </w:r>
      <w:r w:rsidR="007E1E51">
        <w:rPr>
          <w:bCs/>
          <w:noProof/>
        </w:rPr>
        <w:t xml:space="preserve">al and multivariate output. In: </w:t>
      </w:r>
      <w:r w:rsidRPr="0023147A">
        <w:rPr>
          <w:bCs/>
          <w:noProof/>
        </w:rPr>
        <w:t>Proceedings of the 27th SEM international modal analysis conference, Orlando</w:t>
      </w:r>
    </w:p>
    <w:p w14:paraId="22527625" w14:textId="77777777" w:rsidR="00FC71CA" w:rsidRPr="00FC71CA" w:rsidRDefault="00FC71CA" w:rsidP="00DE3C84"/>
    <w:p w14:paraId="6F3D415A" w14:textId="05CB96C6" w:rsidR="00392541" w:rsidRPr="001F1FEF" w:rsidRDefault="009547AF" w:rsidP="00FC71CA">
      <w:pPr>
        <w:pStyle w:val="Bibliography"/>
        <w:ind w:left="720" w:hanging="720"/>
        <w:rPr>
          <w:bCs/>
          <w:noProof/>
        </w:rPr>
      </w:pPr>
      <w:r w:rsidRPr="00FC71CA">
        <w:t xml:space="preserve">Barber, C. B. (1995, September 25). </w:t>
      </w:r>
      <w:r w:rsidRPr="00FC71CA">
        <w:rPr>
          <w:i/>
          <w:iCs/>
        </w:rPr>
        <w:t>Qhull Manual</w:t>
      </w:r>
      <w:r w:rsidRPr="00FC71CA">
        <w:t xml:space="preserve">. Qhull. Retrieved August 9, 2022, from http://www.qhull.org/html/index.htm#description </w:t>
      </w:r>
      <w:r w:rsidR="00392541" w:rsidRPr="001F1FEF">
        <w:rPr>
          <w:bCs/>
          <w:noProof/>
        </w:rPr>
        <w:br/>
      </w:r>
    </w:p>
    <w:p w14:paraId="1C011807" w14:textId="77777777" w:rsidR="00392541" w:rsidRPr="001F1FEF" w:rsidRDefault="00392541" w:rsidP="00392541">
      <w:pPr>
        <w:pStyle w:val="Bibliography"/>
        <w:ind w:left="720" w:hanging="720"/>
        <w:rPr>
          <w:bCs/>
          <w:noProof/>
        </w:rPr>
      </w:pPr>
      <w:r w:rsidRPr="001F1FEF">
        <w:rPr>
          <w:bCs/>
          <w:noProof/>
        </w:rPr>
        <w:t xml:space="preserve">Deputy Assistant Secretary of Defense for Systems Engineering (DASD(SE)). (2018). DoD Digital Engineering Strategy. United States of America, Department of Defense, </w:t>
      </w:r>
      <w:r w:rsidRPr="00F672CC">
        <w:rPr>
          <w:rFonts w:eastAsia="Times New Roman"/>
          <w:i/>
          <w:color w:val="auto"/>
        </w:rPr>
        <w:t>Office of the Secretary of Defense</w:t>
      </w:r>
      <w:r w:rsidRPr="001F1FEF">
        <w:rPr>
          <w:bCs/>
          <w:noProof/>
        </w:rPr>
        <w:t>.</w:t>
      </w:r>
      <w:r w:rsidRPr="001F1FEF">
        <w:rPr>
          <w:bCs/>
          <w:noProof/>
        </w:rPr>
        <w:br/>
      </w:r>
    </w:p>
    <w:p w14:paraId="2E9018F0" w14:textId="6E63E8CB" w:rsidR="00392541" w:rsidRPr="001F1FEF" w:rsidRDefault="00392541" w:rsidP="00A47EEC">
      <w:pPr>
        <w:pStyle w:val="Bibliography"/>
        <w:ind w:left="720" w:hanging="720"/>
        <w:rPr>
          <w:bCs/>
          <w:noProof/>
        </w:rPr>
      </w:pPr>
      <w:r w:rsidRPr="001F1FEF">
        <w:rPr>
          <w:bCs/>
          <w:noProof/>
        </w:rPr>
        <w:fldChar w:fldCharType="end"/>
      </w:r>
      <w:r w:rsidRPr="00110079">
        <w:rPr>
          <w:bCs/>
          <w:noProof/>
        </w:rPr>
        <w:t>Hemez F, Atamturktur S, Unal C (2010</w:t>
      </w:r>
      <w:r w:rsidRPr="001F1FEF">
        <w:rPr>
          <w:bCs/>
          <w:noProof/>
        </w:rPr>
        <w:t>) Defining predictive maturity for validated numerical simulations</w:t>
      </w:r>
      <w:r w:rsidRPr="00110079">
        <w:rPr>
          <w:bCs/>
          <w:noProof/>
        </w:rPr>
        <w:t>. Comput Struct J 88:497–505</w:t>
      </w:r>
    </w:p>
    <w:p w14:paraId="0F4F5566" w14:textId="77777777" w:rsidR="00392541" w:rsidRPr="001F1FEF" w:rsidRDefault="00392541" w:rsidP="00392541">
      <w:pPr>
        <w:pStyle w:val="Bibliography"/>
        <w:ind w:left="720" w:hanging="720"/>
        <w:rPr>
          <w:bCs/>
          <w:noProof/>
        </w:rPr>
      </w:pPr>
    </w:p>
    <w:p w14:paraId="0631F01F" w14:textId="4CEFAD9F" w:rsidR="00392541" w:rsidRDefault="00392541" w:rsidP="00392541">
      <w:pPr>
        <w:pStyle w:val="Bibliography"/>
        <w:ind w:left="720" w:hanging="720"/>
        <w:rPr>
          <w:rFonts w:eastAsia="Times New Roman"/>
          <w:i/>
          <w:color w:val="auto"/>
        </w:rPr>
      </w:pPr>
      <w:r w:rsidRPr="003E7FE0">
        <w:rPr>
          <w:bCs/>
          <w:noProof/>
        </w:rPr>
        <w:t xml:space="preserve">Institute for Defense Analysis (2019). Handbook on Statistical Design &amp; Analysis Techniques for </w:t>
      </w:r>
      <w:r>
        <w:rPr>
          <w:bCs/>
          <w:noProof/>
        </w:rPr>
        <w:t>Modeling &amp; Simulation Validation</w:t>
      </w:r>
      <w:r w:rsidR="00F672CC">
        <w:rPr>
          <w:bCs/>
          <w:noProof/>
        </w:rPr>
        <w:t xml:space="preserve">, </w:t>
      </w:r>
      <w:r w:rsidR="00F672CC" w:rsidRPr="00F672CC">
        <w:rPr>
          <w:rFonts w:eastAsia="Times New Roman"/>
          <w:i/>
          <w:color w:val="auto"/>
        </w:rPr>
        <w:t>Office of the Director, Operational Test and Evaluation</w:t>
      </w:r>
    </w:p>
    <w:p w14:paraId="21E49510" w14:textId="28114B14" w:rsidR="00FC71CA" w:rsidRDefault="00FC71CA" w:rsidP="00DE3C84"/>
    <w:p w14:paraId="3A79F93C" w14:textId="4D2BD3B0" w:rsidR="00FC71CA" w:rsidRDefault="00FC71CA" w:rsidP="00DE3C84">
      <w:pPr>
        <w:ind w:left="720" w:hanging="720"/>
        <w:rPr>
          <w:bCs/>
          <w:noProof/>
        </w:rPr>
      </w:pPr>
      <w:r>
        <w:rPr>
          <w:bCs/>
          <w:noProof/>
        </w:rPr>
        <w:t>Weeks, C., Jones, N., Key, M. (2022</w:t>
      </w:r>
      <w:r w:rsidRPr="001F1FEF">
        <w:rPr>
          <w:bCs/>
          <w:noProof/>
        </w:rPr>
        <w:t xml:space="preserve">). </w:t>
      </w:r>
      <w:r w:rsidRPr="00004C91">
        <w:rPr>
          <w:bCs/>
          <w:noProof/>
        </w:rPr>
        <w:t>Constructing a Metric for Fidelity in Model Validation</w:t>
      </w:r>
      <w:r w:rsidRPr="001F1FEF">
        <w:rPr>
          <w:bCs/>
          <w:noProof/>
        </w:rPr>
        <w:t>. White Paper, Scientific Test &amp; Analysis Techniques Center of Excellence (STAT COE).</w:t>
      </w:r>
    </w:p>
    <w:p w14:paraId="2564DFA8" w14:textId="3E78EEC8" w:rsidR="00A47EEC" w:rsidRDefault="00A47EEC" w:rsidP="00DE3C84">
      <w:pPr>
        <w:ind w:left="720" w:hanging="720"/>
        <w:rPr>
          <w:bCs/>
          <w:noProof/>
        </w:rPr>
      </w:pPr>
    </w:p>
    <w:p w14:paraId="406D4114" w14:textId="41D7D4DE" w:rsidR="00A47EEC" w:rsidRPr="00A47EEC" w:rsidRDefault="00A47EEC" w:rsidP="00A47EEC">
      <w:pPr>
        <w:pStyle w:val="Bibliography"/>
        <w:ind w:left="720" w:hanging="720"/>
        <w:rPr>
          <w:bCs/>
          <w:noProof/>
        </w:rPr>
      </w:pPr>
      <w:r w:rsidRPr="001F1FEF">
        <w:rPr>
          <w:bCs/>
          <w:noProof/>
        </w:rPr>
        <w:t>Ye, K., Han, Z., Duan, Y., Bai, T. (2019). Normalized power prior Bayesian analysis. Department of Management Science and Statistics, The University of Texas at San Antonio, San Antonio, TX, USA</w:t>
      </w:r>
    </w:p>
    <w:p w14:paraId="367EA83B" w14:textId="4BE5AF8C" w:rsidR="005E7EAC" w:rsidRDefault="005E7EAC" w:rsidP="00392541">
      <w:pPr>
        <w:pStyle w:val="Bibliography"/>
        <w:ind w:left="720" w:hanging="720"/>
        <w:rPr>
          <w:bCs/>
          <w:noProof/>
        </w:rPr>
      </w:pPr>
    </w:p>
    <w:p w14:paraId="458C6381" w14:textId="523C2F5D" w:rsidR="00AE529B" w:rsidRPr="00AE529B" w:rsidRDefault="00AE529B" w:rsidP="00AE529B">
      <w:pPr>
        <w:pStyle w:val="Bibliography"/>
        <w:ind w:left="720" w:hanging="720"/>
        <w:rPr>
          <w:bCs/>
          <w:noProof/>
        </w:rPr>
      </w:pPr>
      <w:r w:rsidRPr="00AE529B">
        <w:rPr>
          <w:bCs/>
          <w:noProof/>
        </w:rPr>
        <w:t>Zellner, Arnold (1971). "Prior Distributions to Represent 'Knowing Little'". An Introduction to Bayesian Inference in Econometrics. New York: John Wiley &amp; Sons. pp. 41–53. ISBN 0-471-98165-6.</w:t>
      </w:r>
    </w:p>
    <w:p w14:paraId="4B91E19B" w14:textId="77777777" w:rsidR="005E7EAC" w:rsidRDefault="005E7EAC">
      <w:pPr>
        <w:rPr>
          <w:rFonts w:eastAsiaTheme="majorEastAsia"/>
          <w:sz w:val="24"/>
          <w:szCs w:val="24"/>
        </w:rPr>
      </w:pPr>
      <w:r>
        <w:rPr>
          <w:b/>
          <w:sz w:val="24"/>
          <w:szCs w:val="24"/>
        </w:rPr>
        <w:br w:type="page"/>
      </w:r>
    </w:p>
    <w:p w14:paraId="1D2ACFEF" w14:textId="77777777" w:rsidR="001B0545" w:rsidRDefault="005E7EAC" w:rsidP="001B0545">
      <w:pPr>
        <w:pStyle w:val="APALevelHeading2"/>
        <w:jc w:val="center"/>
        <w:rPr>
          <w:rFonts w:cs="Arial"/>
          <w:bCs/>
          <w:sz w:val="24"/>
          <w:szCs w:val="24"/>
        </w:rPr>
      </w:pPr>
      <w:bookmarkStart w:id="25" w:name="_Toc111627603"/>
      <w:r w:rsidRPr="005E7EAC">
        <w:rPr>
          <w:rFonts w:cs="Arial"/>
          <w:bCs/>
          <w:sz w:val="24"/>
          <w:szCs w:val="24"/>
        </w:rPr>
        <w:lastRenderedPageBreak/>
        <w:t>Appendi</w:t>
      </w:r>
      <w:r w:rsidR="001B0545">
        <w:rPr>
          <w:rFonts w:cs="Arial"/>
          <w:bCs/>
          <w:sz w:val="24"/>
          <w:szCs w:val="24"/>
        </w:rPr>
        <w:t>x</w:t>
      </w:r>
      <w:bookmarkEnd w:id="25"/>
    </w:p>
    <w:p w14:paraId="1DAB09DD" w14:textId="1B1525E3" w:rsidR="00392541" w:rsidRPr="0022690F" w:rsidRDefault="00392541" w:rsidP="00392541">
      <w:pPr>
        <w:jc w:val="center"/>
      </w:pPr>
      <w:r>
        <w:t>Key Definitions</w:t>
      </w:r>
    </w:p>
    <w:p w14:paraId="45A61A82" w14:textId="77777777" w:rsidR="00392541" w:rsidRPr="0022690F" w:rsidRDefault="00392541" w:rsidP="00392541">
      <w:pPr>
        <w:rPr>
          <w:rFonts w:eastAsiaTheme="majorEastAsia"/>
          <w:b/>
          <w:bCs/>
          <w:szCs w:val="24"/>
        </w:rPr>
      </w:pPr>
    </w:p>
    <w:p w14:paraId="1053C20C" w14:textId="77777777" w:rsidR="00392541" w:rsidRPr="0022690F" w:rsidRDefault="00392541" w:rsidP="00392541">
      <w:pPr>
        <w:rPr>
          <w:szCs w:val="18"/>
        </w:rPr>
      </w:pPr>
      <w:r w:rsidRPr="0022690F">
        <w:rPr>
          <w:szCs w:val="18"/>
        </w:rPr>
        <w:t>To ensure a common understanding of the subject, the following definitions will be used throughout this paper:</w:t>
      </w:r>
    </w:p>
    <w:p w14:paraId="78481182" w14:textId="77777777" w:rsidR="00392541" w:rsidRPr="0022690F" w:rsidRDefault="00392541" w:rsidP="00392541">
      <w:pPr>
        <w:rPr>
          <w:szCs w:val="18"/>
        </w:rPr>
      </w:pPr>
    </w:p>
    <w:p w14:paraId="7FD4AF8B" w14:textId="77777777" w:rsidR="00392541" w:rsidRDefault="00392541" w:rsidP="00392541">
      <w:pPr>
        <w:ind w:left="720"/>
        <w:rPr>
          <w:szCs w:val="18"/>
        </w:rPr>
      </w:pPr>
      <w:r w:rsidRPr="0022690F">
        <w:rPr>
          <w:szCs w:val="18"/>
        </w:rPr>
        <w:t>accuracy: the degree to which a parameter or variable, or a set of parameters or variables, within a model or simulation conforms exactly to reality or to some chosen standard or referent (Modeling and Simulation Enterprise, 2021).</w:t>
      </w:r>
    </w:p>
    <w:p w14:paraId="1D5F6980" w14:textId="77777777" w:rsidR="00392541" w:rsidRDefault="00392541" w:rsidP="00392541">
      <w:pPr>
        <w:ind w:left="720"/>
        <w:rPr>
          <w:szCs w:val="18"/>
        </w:rPr>
      </w:pPr>
    </w:p>
    <w:p w14:paraId="705F0CAB" w14:textId="48A16A5E" w:rsidR="00392541" w:rsidRDefault="00392541" w:rsidP="00392541">
      <w:pPr>
        <w:ind w:left="720"/>
        <w:rPr>
          <w:szCs w:val="18"/>
        </w:rPr>
      </w:pPr>
      <w:r w:rsidRPr="0022690F">
        <w:rPr>
          <w:szCs w:val="18"/>
        </w:rPr>
        <w:t>aleatory uncertainty: uncertainty arising from an inherent randomness in the properties or behavior of the system under study (Helton, 2011).</w:t>
      </w:r>
    </w:p>
    <w:p w14:paraId="737A73DC" w14:textId="4BB9ADA3" w:rsidR="006B6E5C" w:rsidRDefault="006B6E5C" w:rsidP="00392541">
      <w:pPr>
        <w:ind w:left="720"/>
        <w:rPr>
          <w:szCs w:val="18"/>
        </w:rPr>
      </w:pPr>
    </w:p>
    <w:p w14:paraId="2D4730C4" w14:textId="0F3E66BA" w:rsidR="006B6E5C" w:rsidRPr="0022690F" w:rsidRDefault="006B6E5C" w:rsidP="00392541">
      <w:pPr>
        <w:ind w:left="720"/>
        <w:rPr>
          <w:szCs w:val="18"/>
        </w:rPr>
      </w:pPr>
      <w:r>
        <w:rPr>
          <w:szCs w:val="18"/>
        </w:rPr>
        <w:t xml:space="preserve">convex hull: </w:t>
      </w:r>
      <w:r w:rsidR="008F69C3">
        <w:rPr>
          <w:szCs w:val="18"/>
        </w:rPr>
        <w:t>the smallest possible convex space that contains a set of data points</w:t>
      </w:r>
    </w:p>
    <w:p w14:paraId="0975ECAB" w14:textId="77777777" w:rsidR="00392541" w:rsidRPr="0022690F" w:rsidRDefault="00392541" w:rsidP="00392541">
      <w:pPr>
        <w:ind w:left="720"/>
        <w:rPr>
          <w:szCs w:val="18"/>
        </w:rPr>
      </w:pPr>
    </w:p>
    <w:p w14:paraId="0C050902" w14:textId="77777777" w:rsidR="00392541" w:rsidRPr="0022690F" w:rsidRDefault="00392541" w:rsidP="00392541">
      <w:pPr>
        <w:ind w:left="720"/>
        <w:rPr>
          <w:szCs w:val="18"/>
        </w:rPr>
      </w:pPr>
      <w:r w:rsidRPr="0022690F">
        <w:rPr>
          <w:szCs w:val="18"/>
        </w:rPr>
        <w:t>epistemic uncertainty: uncertainty derived from a lack of knowledge about the appropriate value to use for a quantity that is assumed to have a fixed value in the context of a particular analysis (Helton, 2011).</w:t>
      </w:r>
    </w:p>
    <w:p w14:paraId="38373DA3" w14:textId="77777777" w:rsidR="00392541" w:rsidRPr="0022690F" w:rsidRDefault="00392541" w:rsidP="00392541">
      <w:pPr>
        <w:rPr>
          <w:szCs w:val="18"/>
        </w:rPr>
      </w:pPr>
    </w:p>
    <w:p w14:paraId="3A445AA0" w14:textId="77777777" w:rsidR="00392541" w:rsidRPr="0022690F" w:rsidRDefault="00392541" w:rsidP="00392541">
      <w:pPr>
        <w:ind w:left="720"/>
        <w:rPr>
          <w:szCs w:val="18"/>
        </w:rPr>
      </w:pPr>
      <w:r w:rsidRPr="0022690F">
        <w:rPr>
          <w:szCs w:val="18"/>
        </w:rPr>
        <w:t>fidelity: the level of consistency between a model and a referent, defined in the three dimensions of accuracy, repeatability</w:t>
      </w:r>
      <w:r>
        <w:rPr>
          <w:szCs w:val="18"/>
        </w:rPr>
        <w:t>, and resolution</w:t>
      </w:r>
      <w:r w:rsidRPr="0022690F">
        <w:rPr>
          <w:szCs w:val="18"/>
        </w:rPr>
        <w:t>.</w:t>
      </w:r>
    </w:p>
    <w:p w14:paraId="6B557FBE" w14:textId="77777777" w:rsidR="00392541" w:rsidRPr="0022690F" w:rsidRDefault="00392541" w:rsidP="00392541">
      <w:pPr>
        <w:ind w:left="720"/>
        <w:rPr>
          <w:szCs w:val="18"/>
        </w:rPr>
      </w:pPr>
    </w:p>
    <w:p w14:paraId="4A129123" w14:textId="77777777" w:rsidR="00392541" w:rsidRPr="0022690F" w:rsidRDefault="00392541" w:rsidP="00392541">
      <w:pPr>
        <w:ind w:left="720"/>
        <w:rPr>
          <w:szCs w:val="18"/>
        </w:rPr>
      </w:pPr>
      <w:r w:rsidRPr="0022690F">
        <w:rPr>
          <w:szCs w:val="18"/>
        </w:rPr>
        <w:t>model: a physical, mathematical, or otherwise logical representation of a system, entity, phenomenon, or process (DoDI 5000.61).</w:t>
      </w:r>
    </w:p>
    <w:p w14:paraId="4556C1F5" w14:textId="77777777" w:rsidR="00392541" w:rsidRPr="0022690F" w:rsidRDefault="00392541" w:rsidP="00392541">
      <w:pPr>
        <w:ind w:left="720"/>
        <w:rPr>
          <w:szCs w:val="18"/>
        </w:rPr>
      </w:pPr>
    </w:p>
    <w:p w14:paraId="2C5BB078" w14:textId="77777777" w:rsidR="00392541" w:rsidRPr="0022690F" w:rsidRDefault="00392541" w:rsidP="00392541">
      <w:pPr>
        <w:ind w:left="720"/>
        <w:rPr>
          <w:szCs w:val="18"/>
        </w:rPr>
      </w:pPr>
      <w:r w:rsidRPr="0022690F">
        <w:rPr>
          <w:szCs w:val="18"/>
        </w:rPr>
        <w:t>modeling and simulation (M&amp;S): the use of models, including emulators, prototypes, simulators, and stimulators, either statically or over time, to develop data as a basis for making managerial or technical decisions (Modeling and Simulation Enterprise, 2021).</w:t>
      </w:r>
    </w:p>
    <w:p w14:paraId="548DA49D" w14:textId="77777777" w:rsidR="00392541" w:rsidRPr="0022690F" w:rsidRDefault="00392541" w:rsidP="00392541">
      <w:pPr>
        <w:ind w:left="720"/>
        <w:rPr>
          <w:szCs w:val="18"/>
        </w:rPr>
      </w:pPr>
    </w:p>
    <w:p w14:paraId="58F0FDA4" w14:textId="77777777" w:rsidR="00392541" w:rsidRPr="0022690F" w:rsidRDefault="00392541" w:rsidP="00392541">
      <w:pPr>
        <w:ind w:left="720"/>
        <w:rPr>
          <w:szCs w:val="18"/>
        </w:rPr>
      </w:pPr>
      <w:r w:rsidRPr="0022690F">
        <w:rPr>
          <w:szCs w:val="18"/>
        </w:rPr>
        <w:t>referent: a trusted representation of reality.</w:t>
      </w:r>
    </w:p>
    <w:p w14:paraId="303F57EB" w14:textId="77777777" w:rsidR="00392541" w:rsidRPr="0022690F" w:rsidRDefault="00392541" w:rsidP="00392541">
      <w:pPr>
        <w:ind w:left="720"/>
        <w:rPr>
          <w:szCs w:val="18"/>
        </w:rPr>
      </w:pPr>
    </w:p>
    <w:p w14:paraId="091C95F6" w14:textId="77777777" w:rsidR="00392541" w:rsidRPr="0022690F" w:rsidRDefault="00392541" w:rsidP="00392541">
      <w:pPr>
        <w:ind w:left="720"/>
        <w:rPr>
          <w:szCs w:val="18"/>
        </w:rPr>
      </w:pPr>
      <w:r w:rsidRPr="0022690F">
        <w:rPr>
          <w:szCs w:val="18"/>
        </w:rPr>
        <w:t>referent authority: the strength of credibility of a referent’s claim to be a high-fidelity representation of reality.</w:t>
      </w:r>
    </w:p>
    <w:p w14:paraId="28B1ABB3" w14:textId="77777777" w:rsidR="00392541" w:rsidRPr="0022690F" w:rsidRDefault="00392541" w:rsidP="00392541">
      <w:pPr>
        <w:ind w:left="720"/>
        <w:rPr>
          <w:szCs w:val="18"/>
        </w:rPr>
      </w:pPr>
    </w:p>
    <w:p w14:paraId="4314C7BF" w14:textId="77777777" w:rsidR="00392541" w:rsidRPr="0022690F" w:rsidRDefault="00392541" w:rsidP="00392541">
      <w:pPr>
        <w:ind w:left="720"/>
        <w:rPr>
          <w:szCs w:val="18"/>
        </w:rPr>
      </w:pPr>
      <w:r w:rsidRPr="0022690F">
        <w:rPr>
          <w:szCs w:val="18"/>
        </w:rPr>
        <w:t>repeatability: the similarity of the results obtained from the same model (or referent) over multiple observations under the same input conditions.</w:t>
      </w:r>
    </w:p>
    <w:p w14:paraId="0F3FBC70" w14:textId="77777777" w:rsidR="00392541" w:rsidRPr="0022690F" w:rsidRDefault="00392541" w:rsidP="00392541">
      <w:pPr>
        <w:ind w:left="720"/>
        <w:rPr>
          <w:szCs w:val="18"/>
        </w:rPr>
      </w:pPr>
    </w:p>
    <w:p w14:paraId="1B2CC432" w14:textId="77777777" w:rsidR="00392541" w:rsidRPr="0022690F" w:rsidRDefault="00392541" w:rsidP="00392541">
      <w:pPr>
        <w:ind w:left="720"/>
        <w:rPr>
          <w:szCs w:val="18"/>
        </w:rPr>
      </w:pPr>
      <w:r w:rsidRPr="0022690F">
        <w:rPr>
          <w:szCs w:val="18"/>
        </w:rPr>
        <w:t>resolution: the degree of granularity with which a parameter or variable can be determined (Pace, 2015).</w:t>
      </w:r>
    </w:p>
    <w:p w14:paraId="1F6F6BC9" w14:textId="77777777" w:rsidR="00392541" w:rsidRPr="0022690F" w:rsidRDefault="00392541" w:rsidP="00392541">
      <w:pPr>
        <w:ind w:left="720"/>
        <w:rPr>
          <w:szCs w:val="18"/>
        </w:rPr>
      </w:pPr>
    </w:p>
    <w:p w14:paraId="1086CBA6" w14:textId="77777777" w:rsidR="00392541" w:rsidRPr="0022690F" w:rsidRDefault="00392541" w:rsidP="00392541">
      <w:pPr>
        <w:ind w:left="720"/>
        <w:rPr>
          <w:szCs w:val="18"/>
        </w:rPr>
      </w:pPr>
      <w:r w:rsidRPr="0022690F">
        <w:rPr>
          <w:szCs w:val="18"/>
        </w:rPr>
        <w:t>scope: the set of model inputs, outputs, assumptions, and limitations representing the mission-relevant system parameters, environmental conditions, constraints, and requirements, and their allowable values.</w:t>
      </w:r>
    </w:p>
    <w:p w14:paraId="1E3F59AD" w14:textId="77777777" w:rsidR="00392541" w:rsidRPr="0022690F" w:rsidRDefault="00392541" w:rsidP="00392541">
      <w:pPr>
        <w:ind w:left="720"/>
        <w:rPr>
          <w:szCs w:val="18"/>
        </w:rPr>
      </w:pPr>
    </w:p>
    <w:p w14:paraId="7F60086D" w14:textId="77777777" w:rsidR="00392541" w:rsidRPr="0022690F" w:rsidRDefault="00392541" w:rsidP="00392541">
      <w:pPr>
        <w:ind w:firstLine="720"/>
        <w:rPr>
          <w:szCs w:val="18"/>
        </w:rPr>
      </w:pPr>
      <w:r w:rsidRPr="0022690F">
        <w:rPr>
          <w:szCs w:val="18"/>
        </w:rPr>
        <w:t>simulation: a method for implementing a model over time (DoDI 5000.61).</w:t>
      </w:r>
    </w:p>
    <w:p w14:paraId="223041D9" w14:textId="77777777" w:rsidR="00392541" w:rsidRPr="0022690F" w:rsidRDefault="00392541" w:rsidP="00392541">
      <w:pPr>
        <w:ind w:firstLine="720"/>
        <w:rPr>
          <w:szCs w:val="18"/>
        </w:rPr>
      </w:pPr>
    </w:p>
    <w:p w14:paraId="305AEC3D" w14:textId="77777777" w:rsidR="00392541" w:rsidRPr="0022690F" w:rsidRDefault="00392541" w:rsidP="00392541">
      <w:pPr>
        <w:ind w:left="720"/>
        <w:rPr>
          <w:szCs w:val="18"/>
        </w:rPr>
      </w:pPr>
      <w:r w:rsidRPr="0022690F">
        <w:rPr>
          <w:szCs w:val="18"/>
        </w:rPr>
        <w:t>specific intended use: the set of dimensions, ranges, and assumptions of the model inputs and outputs needed to represent a system’s relevant mission parameters, environmental conditions, constraints, and requirements, combined with the additional constraints imposed by the target modeling environment and the required level of fidelity for the specific stage of program development.</w:t>
      </w:r>
    </w:p>
    <w:p w14:paraId="2B25A1CD" w14:textId="77777777" w:rsidR="00392541" w:rsidRPr="0022690F" w:rsidRDefault="00392541" w:rsidP="00392541">
      <w:pPr>
        <w:ind w:left="720"/>
        <w:rPr>
          <w:szCs w:val="18"/>
        </w:rPr>
      </w:pPr>
    </w:p>
    <w:p w14:paraId="5DBCED71" w14:textId="77777777" w:rsidR="00392541" w:rsidRPr="0022690F" w:rsidRDefault="00392541" w:rsidP="00392541">
      <w:pPr>
        <w:ind w:left="720"/>
        <w:rPr>
          <w:szCs w:val="18"/>
        </w:rPr>
      </w:pPr>
      <w:r w:rsidRPr="0022690F">
        <w:rPr>
          <w:szCs w:val="18"/>
        </w:rPr>
        <w:t>validation: the process that determines whether a model has sufficient fidelity relative to an appropriate referent(s) for a specific intended use.</w:t>
      </w:r>
    </w:p>
    <w:p w14:paraId="33EDFC31" w14:textId="77777777" w:rsidR="00392541" w:rsidRPr="0022690F" w:rsidRDefault="00392541" w:rsidP="00392541">
      <w:pPr>
        <w:ind w:left="720"/>
        <w:rPr>
          <w:szCs w:val="18"/>
        </w:rPr>
      </w:pPr>
    </w:p>
    <w:p w14:paraId="4BF0AC1B" w14:textId="77777777" w:rsidR="00392541" w:rsidRPr="0022690F" w:rsidRDefault="00392541" w:rsidP="00392541">
      <w:pPr>
        <w:ind w:left="720"/>
        <w:rPr>
          <w:szCs w:val="18"/>
        </w:rPr>
      </w:pPr>
      <w:r w:rsidRPr="0022690F">
        <w:rPr>
          <w:szCs w:val="18"/>
        </w:rPr>
        <w:t>validity: the fidelity of a model over a pre-specified scope relative to an appropriate referent(s).</w:t>
      </w:r>
    </w:p>
    <w:p w14:paraId="200817B3" w14:textId="77777777" w:rsidR="00392541" w:rsidRPr="005E7EAC" w:rsidRDefault="00392541" w:rsidP="001B0545">
      <w:pPr>
        <w:jc w:val="center"/>
        <w:rPr>
          <w:sz w:val="24"/>
          <w:szCs w:val="24"/>
        </w:rPr>
      </w:pPr>
    </w:p>
    <w:sectPr w:rsidR="00392541" w:rsidRPr="005E7EAC" w:rsidSect="008170B5">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754E6" w14:textId="77777777" w:rsidR="0041797A" w:rsidRDefault="0041797A" w:rsidP="00947505">
      <w:r>
        <w:separator/>
      </w:r>
    </w:p>
  </w:endnote>
  <w:endnote w:type="continuationSeparator" w:id="0">
    <w:p w14:paraId="5CF1BAFB" w14:textId="77777777" w:rsidR="0041797A" w:rsidRDefault="0041797A" w:rsidP="0094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024543"/>
      <w:docPartObj>
        <w:docPartGallery w:val="Page Numbers (Bottom of Page)"/>
        <w:docPartUnique/>
      </w:docPartObj>
    </w:sdtPr>
    <w:sdtEndPr>
      <w:rPr>
        <w:noProof/>
      </w:rPr>
    </w:sdtEndPr>
    <w:sdtContent>
      <w:p w14:paraId="23E1FB5E" w14:textId="089E161E" w:rsidR="00601AF7" w:rsidRDefault="00601AF7">
        <w:pPr>
          <w:pStyle w:val="Footer"/>
          <w:jc w:val="center"/>
        </w:pPr>
        <w:r>
          <w:fldChar w:fldCharType="begin"/>
        </w:r>
        <w:r>
          <w:instrText xml:space="preserve"> PAGE   \* MERGEFORMAT </w:instrText>
        </w:r>
        <w:r>
          <w:fldChar w:fldCharType="separate"/>
        </w:r>
        <w:r w:rsidR="00067BE5">
          <w:rPr>
            <w:noProof/>
          </w:rPr>
          <w:t>14</w:t>
        </w:r>
        <w:r>
          <w:rPr>
            <w:noProof/>
          </w:rPr>
          <w:fldChar w:fldCharType="end"/>
        </w:r>
      </w:p>
    </w:sdtContent>
  </w:sdt>
  <w:p w14:paraId="6CAFFBBF" w14:textId="7FFAD814" w:rsidR="00601AF7" w:rsidRPr="00947505" w:rsidRDefault="00601AF7" w:rsidP="00947505">
    <w:pPr>
      <w:spacing w:before="1" w:line="249" w:lineRule="auto"/>
      <w:ind w:left="3513" w:right="3111"/>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C944" w14:textId="5F102651" w:rsidR="00601AF7" w:rsidRPr="00233C70" w:rsidRDefault="00601AF7" w:rsidP="00233C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F51D" w14:textId="77777777" w:rsidR="0041797A" w:rsidRDefault="0041797A" w:rsidP="00947505">
      <w:r>
        <w:separator/>
      </w:r>
    </w:p>
  </w:footnote>
  <w:footnote w:type="continuationSeparator" w:id="0">
    <w:p w14:paraId="68987B2D" w14:textId="77777777" w:rsidR="0041797A" w:rsidRDefault="0041797A" w:rsidP="0094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FA98" w14:textId="77777777" w:rsidR="00601AF7" w:rsidRPr="006F1282" w:rsidRDefault="00601AF7" w:rsidP="00947505">
    <w:pPr>
      <w:rPr>
        <w:color w:val="FF0000"/>
        <w:sz w:val="20"/>
        <w:szCs w:val="20"/>
      </w:rPr>
    </w:pPr>
    <w:r w:rsidRPr="001B0545">
      <w:rPr>
        <w:color w:val="auto"/>
        <w:sz w:val="20"/>
        <w:szCs w:val="20"/>
      </w:rPr>
      <w:t>STAT-COE-REPORT</w:t>
    </w:r>
    <w:r w:rsidRPr="001B0545">
      <w:rPr>
        <w:color w:val="auto"/>
        <w:spacing w:val="-14"/>
        <w:sz w:val="20"/>
        <w:szCs w:val="20"/>
      </w:rPr>
      <w:t xml:space="preserve"> </w:t>
    </w:r>
    <w:r w:rsidRPr="006F1282">
      <w:rPr>
        <w:color w:val="FF0000"/>
        <w:sz w:val="20"/>
        <w:szCs w:val="20"/>
      </w:rPr>
      <w:t>##-YY</w:t>
    </w:r>
  </w:p>
  <w:p w14:paraId="515CC6D3" w14:textId="77777777" w:rsidR="00601AF7" w:rsidRDefault="00601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BDA5" w14:textId="77777777" w:rsidR="00601AF7" w:rsidRDefault="00601AF7" w:rsidP="00233C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ED1"/>
    <w:multiLevelType w:val="hybridMultilevel"/>
    <w:tmpl w:val="CF00B052"/>
    <w:lvl w:ilvl="0" w:tplc="61D005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A75C8"/>
    <w:multiLevelType w:val="hybridMultilevel"/>
    <w:tmpl w:val="C5EA2B62"/>
    <w:lvl w:ilvl="0" w:tplc="83CCB13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85F6F"/>
    <w:multiLevelType w:val="hybridMultilevel"/>
    <w:tmpl w:val="11181430"/>
    <w:lvl w:ilvl="0" w:tplc="7A220FB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D404E"/>
    <w:multiLevelType w:val="hybridMultilevel"/>
    <w:tmpl w:val="03066B80"/>
    <w:lvl w:ilvl="0" w:tplc="AC1069B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75E40"/>
    <w:multiLevelType w:val="hybridMultilevel"/>
    <w:tmpl w:val="2788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B4254"/>
    <w:multiLevelType w:val="hybridMultilevel"/>
    <w:tmpl w:val="CEF66184"/>
    <w:lvl w:ilvl="0" w:tplc="52AE6890">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67C52"/>
    <w:multiLevelType w:val="hybridMultilevel"/>
    <w:tmpl w:val="91F85FE6"/>
    <w:lvl w:ilvl="0" w:tplc="5AD883D8">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F461D"/>
    <w:multiLevelType w:val="hybridMultilevel"/>
    <w:tmpl w:val="79C6356C"/>
    <w:lvl w:ilvl="0" w:tplc="3F087074">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141CB"/>
    <w:multiLevelType w:val="hybridMultilevel"/>
    <w:tmpl w:val="726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51FCC"/>
    <w:multiLevelType w:val="hybridMultilevel"/>
    <w:tmpl w:val="1454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535D8"/>
    <w:multiLevelType w:val="hybridMultilevel"/>
    <w:tmpl w:val="A14F76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6"/>
  </w:num>
  <w:num w:numId="4">
    <w:abstractNumId w:val="1"/>
  </w:num>
  <w:num w:numId="5">
    <w:abstractNumId w:val="5"/>
  </w:num>
  <w:num w:numId="6">
    <w:abstractNumId w:val="3"/>
  </w:num>
  <w:num w:numId="7">
    <w:abstractNumId w:val="2"/>
  </w:num>
  <w:num w:numId="8">
    <w:abstractNumId w:val="1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87"/>
    <w:rsid w:val="00004875"/>
    <w:rsid w:val="00004C91"/>
    <w:rsid w:val="00006332"/>
    <w:rsid w:val="000071BA"/>
    <w:rsid w:val="0001386D"/>
    <w:rsid w:val="000144D9"/>
    <w:rsid w:val="000162FF"/>
    <w:rsid w:val="00030A8A"/>
    <w:rsid w:val="000316BF"/>
    <w:rsid w:val="000422D8"/>
    <w:rsid w:val="00055E1B"/>
    <w:rsid w:val="0006019D"/>
    <w:rsid w:val="00065E1A"/>
    <w:rsid w:val="00067BE5"/>
    <w:rsid w:val="00075DBE"/>
    <w:rsid w:val="00085EE0"/>
    <w:rsid w:val="000A06DC"/>
    <w:rsid w:val="000B18FC"/>
    <w:rsid w:val="000E736B"/>
    <w:rsid w:val="000F1476"/>
    <w:rsid w:val="000F184F"/>
    <w:rsid w:val="000F1FCD"/>
    <w:rsid w:val="000F68B4"/>
    <w:rsid w:val="0010111F"/>
    <w:rsid w:val="00101D29"/>
    <w:rsid w:val="001067A4"/>
    <w:rsid w:val="001168F8"/>
    <w:rsid w:val="00141DD0"/>
    <w:rsid w:val="00143523"/>
    <w:rsid w:val="00143D7D"/>
    <w:rsid w:val="001475E9"/>
    <w:rsid w:val="00160C12"/>
    <w:rsid w:val="001643A7"/>
    <w:rsid w:val="00164811"/>
    <w:rsid w:val="001B0545"/>
    <w:rsid w:val="001B6028"/>
    <w:rsid w:val="001D2E58"/>
    <w:rsid w:val="001D5088"/>
    <w:rsid w:val="001D6868"/>
    <w:rsid w:val="001F6C97"/>
    <w:rsid w:val="002103D3"/>
    <w:rsid w:val="00210D98"/>
    <w:rsid w:val="002228AE"/>
    <w:rsid w:val="0023048F"/>
    <w:rsid w:val="0023147A"/>
    <w:rsid w:val="002336F9"/>
    <w:rsid w:val="00233C70"/>
    <w:rsid w:val="0023720E"/>
    <w:rsid w:val="00251E78"/>
    <w:rsid w:val="00257A62"/>
    <w:rsid w:val="00275506"/>
    <w:rsid w:val="00276D39"/>
    <w:rsid w:val="00291FA6"/>
    <w:rsid w:val="00294D56"/>
    <w:rsid w:val="002963EC"/>
    <w:rsid w:val="002A085F"/>
    <w:rsid w:val="002A7A5E"/>
    <w:rsid w:val="002B694C"/>
    <w:rsid w:val="002F400B"/>
    <w:rsid w:val="002F6DF3"/>
    <w:rsid w:val="00320D1A"/>
    <w:rsid w:val="003221BA"/>
    <w:rsid w:val="00324ECE"/>
    <w:rsid w:val="00325B1A"/>
    <w:rsid w:val="00335F9E"/>
    <w:rsid w:val="00340F84"/>
    <w:rsid w:val="00345FA5"/>
    <w:rsid w:val="00350951"/>
    <w:rsid w:val="00367DA0"/>
    <w:rsid w:val="00380AE1"/>
    <w:rsid w:val="00392541"/>
    <w:rsid w:val="00392DC0"/>
    <w:rsid w:val="003A42BE"/>
    <w:rsid w:val="003B5865"/>
    <w:rsid w:val="003C0702"/>
    <w:rsid w:val="003D5EE8"/>
    <w:rsid w:val="003E086D"/>
    <w:rsid w:val="003E72C3"/>
    <w:rsid w:val="003F063E"/>
    <w:rsid w:val="003F3FCB"/>
    <w:rsid w:val="00401502"/>
    <w:rsid w:val="00402B9E"/>
    <w:rsid w:val="004056BC"/>
    <w:rsid w:val="0041797A"/>
    <w:rsid w:val="0042543B"/>
    <w:rsid w:val="004309BF"/>
    <w:rsid w:val="00441451"/>
    <w:rsid w:val="00447AFF"/>
    <w:rsid w:val="00476F2C"/>
    <w:rsid w:val="00484AF2"/>
    <w:rsid w:val="00487C6C"/>
    <w:rsid w:val="004C01D7"/>
    <w:rsid w:val="004C2F5F"/>
    <w:rsid w:val="004C6D42"/>
    <w:rsid w:val="004D14FE"/>
    <w:rsid w:val="004D3611"/>
    <w:rsid w:val="004D3D5B"/>
    <w:rsid w:val="004E1B00"/>
    <w:rsid w:val="004E7832"/>
    <w:rsid w:val="004F06CD"/>
    <w:rsid w:val="004F1E52"/>
    <w:rsid w:val="004F4243"/>
    <w:rsid w:val="005477E4"/>
    <w:rsid w:val="005558A1"/>
    <w:rsid w:val="00583F27"/>
    <w:rsid w:val="0059053E"/>
    <w:rsid w:val="00590CC7"/>
    <w:rsid w:val="00591FBD"/>
    <w:rsid w:val="005A4ECF"/>
    <w:rsid w:val="005B07CC"/>
    <w:rsid w:val="005D46D8"/>
    <w:rsid w:val="005E7EAC"/>
    <w:rsid w:val="005F5C8E"/>
    <w:rsid w:val="00601AF7"/>
    <w:rsid w:val="00624C82"/>
    <w:rsid w:val="0063381C"/>
    <w:rsid w:val="006514EB"/>
    <w:rsid w:val="006551AE"/>
    <w:rsid w:val="00661795"/>
    <w:rsid w:val="00667934"/>
    <w:rsid w:val="00670E5D"/>
    <w:rsid w:val="00673A7C"/>
    <w:rsid w:val="00674517"/>
    <w:rsid w:val="00677023"/>
    <w:rsid w:val="006B5FAA"/>
    <w:rsid w:val="006B6E5C"/>
    <w:rsid w:val="006D3AF1"/>
    <w:rsid w:val="006F1282"/>
    <w:rsid w:val="006F7677"/>
    <w:rsid w:val="00706E9E"/>
    <w:rsid w:val="00713DDB"/>
    <w:rsid w:val="00714063"/>
    <w:rsid w:val="00720E05"/>
    <w:rsid w:val="00732A45"/>
    <w:rsid w:val="00754A66"/>
    <w:rsid w:val="00755CEB"/>
    <w:rsid w:val="0076280B"/>
    <w:rsid w:val="0076291B"/>
    <w:rsid w:val="00763171"/>
    <w:rsid w:val="00784013"/>
    <w:rsid w:val="007913CA"/>
    <w:rsid w:val="007A1DF2"/>
    <w:rsid w:val="007B07F8"/>
    <w:rsid w:val="007C330B"/>
    <w:rsid w:val="007C584E"/>
    <w:rsid w:val="007E1E51"/>
    <w:rsid w:val="00810A2C"/>
    <w:rsid w:val="008162FD"/>
    <w:rsid w:val="008170B5"/>
    <w:rsid w:val="00823D60"/>
    <w:rsid w:val="0083756B"/>
    <w:rsid w:val="008422FC"/>
    <w:rsid w:val="00844997"/>
    <w:rsid w:val="00847924"/>
    <w:rsid w:val="00857ABE"/>
    <w:rsid w:val="00872264"/>
    <w:rsid w:val="00876227"/>
    <w:rsid w:val="00883B89"/>
    <w:rsid w:val="00892242"/>
    <w:rsid w:val="008B044A"/>
    <w:rsid w:val="008B3A65"/>
    <w:rsid w:val="008B3F6C"/>
    <w:rsid w:val="008C7013"/>
    <w:rsid w:val="008D16E4"/>
    <w:rsid w:val="008D3B61"/>
    <w:rsid w:val="008D5E92"/>
    <w:rsid w:val="008F69C3"/>
    <w:rsid w:val="008F6C7B"/>
    <w:rsid w:val="00900AC2"/>
    <w:rsid w:val="00911521"/>
    <w:rsid w:val="009208C4"/>
    <w:rsid w:val="00947505"/>
    <w:rsid w:val="009547AF"/>
    <w:rsid w:val="00955987"/>
    <w:rsid w:val="00955A9F"/>
    <w:rsid w:val="009654E8"/>
    <w:rsid w:val="0097098F"/>
    <w:rsid w:val="00972B13"/>
    <w:rsid w:val="009858A3"/>
    <w:rsid w:val="009A01EE"/>
    <w:rsid w:val="009C1CCC"/>
    <w:rsid w:val="009D0081"/>
    <w:rsid w:val="009D75FB"/>
    <w:rsid w:val="009E42E2"/>
    <w:rsid w:val="00A016A3"/>
    <w:rsid w:val="00A12323"/>
    <w:rsid w:val="00A333F6"/>
    <w:rsid w:val="00A35E40"/>
    <w:rsid w:val="00A441FE"/>
    <w:rsid w:val="00A47EEC"/>
    <w:rsid w:val="00A902AD"/>
    <w:rsid w:val="00A90F94"/>
    <w:rsid w:val="00A9376B"/>
    <w:rsid w:val="00A96918"/>
    <w:rsid w:val="00AA23D7"/>
    <w:rsid w:val="00AB03E5"/>
    <w:rsid w:val="00AB3C8F"/>
    <w:rsid w:val="00AB6BEE"/>
    <w:rsid w:val="00AC0A88"/>
    <w:rsid w:val="00AE529B"/>
    <w:rsid w:val="00AE5AD9"/>
    <w:rsid w:val="00AE6CF1"/>
    <w:rsid w:val="00B21350"/>
    <w:rsid w:val="00B265FA"/>
    <w:rsid w:val="00B329EB"/>
    <w:rsid w:val="00B51DD4"/>
    <w:rsid w:val="00B5455A"/>
    <w:rsid w:val="00B62ED4"/>
    <w:rsid w:val="00B649BD"/>
    <w:rsid w:val="00B66470"/>
    <w:rsid w:val="00B67BE7"/>
    <w:rsid w:val="00B77FDD"/>
    <w:rsid w:val="00B834A8"/>
    <w:rsid w:val="00BB46FD"/>
    <w:rsid w:val="00BB62BE"/>
    <w:rsid w:val="00BD0905"/>
    <w:rsid w:val="00BD400E"/>
    <w:rsid w:val="00BE2EDE"/>
    <w:rsid w:val="00BF1F0C"/>
    <w:rsid w:val="00C10741"/>
    <w:rsid w:val="00C10AA4"/>
    <w:rsid w:val="00C216EE"/>
    <w:rsid w:val="00C223C3"/>
    <w:rsid w:val="00C26EDB"/>
    <w:rsid w:val="00C32FCB"/>
    <w:rsid w:val="00C34B07"/>
    <w:rsid w:val="00C40490"/>
    <w:rsid w:val="00C64DA7"/>
    <w:rsid w:val="00C77A93"/>
    <w:rsid w:val="00C83626"/>
    <w:rsid w:val="00C90C38"/>
    <w:rsid w:val="00C92755"/>
    <w:rsid w:val="00CA569C"/>
    <w:rsid w:val="00CA5DC2"/>
    <w:rsid w:val="00CB4475"/>
    <w:rsid w:val="00CC187A"/>
    <w:rsid w:val="00CC3CB1"/>
    <w:rsid w:val="00CC5C27"/>
    <w:rsid w:val="00CC7003"/>
    <w:rsid w:val="00CD0CD6"/>
    <w:rsid w:val="00CD36AC"/>
    <w:rsid w:val="00CD75F9"/>
    <w:rsid w:val="00CE4C30"/>
    <w:rsid w:val="00CF0796"/>
    <w:rsid w:val="00CF0AB2"/>
    <w:rsid w:val="00D02DE7"/>
    <w:rsid w:val="00D03472"/>
    <w:rsid w:val="00D23525"/>
    <w:rsid w:val="00D52C93"/>
    <w:rsid w:val="00D62D39"/>
    <w:rsid w:val="00D64146"/>
    <w:rsid w:val="00D77FB1"/>
    <w:rsid w:val="00D81007"/>
    <w:rsid w:val="00D8125D"/>
    <w:rsid w:val="00D95DE8"/>
    <w:rsid w:val="00DA020D"/>
    <w:rsid w:val="00DA36B9"/>
    <w:rsid w:val="00DC3C66"/>
    <w:rsid w:val="00DE3C84"/>
    <w:rsid w:val="00DF2A5B"/>
    <w:rsid w:val="00DF4283"/>
    <w:rsid w:val="00DF5B37"/>
    <w:rsid w:val="00E00D2B"/>
    <w:rsid w:val="00E20F80"/>
    <w:rsid w:val="00E4155A"/>
    <w:rsid w:val="00E527D6"/>
    <w:rsid w:val="00E77DE1"/>
    <w:rsid w:val="00E93FC0"/>
    <w:rsid w:val="00EB0429"/>
    <w:rsid w:val="00EC6BEF"/>
    <w:rsid w:val="00ED1C69"/>
    <w:rsid w:val="00EE5879"/>
    <w:rsid w:val="00EF6BE3"/>
    <w:rsid w:val="00F05002"/>
    <w:rsid w:val="00F152BA"/>
    <w:rsid w:val="00F32574"/>
    <w:rsid w:val="00F33B3D"/>
    <w:rsid w:val="00F60F92"/>
    <w:rsid w:val="00F64D0A"/>
    <w:rsid w:val="00F672CC"/>
    <w:rsid w:val="00F95C16"/>
    <w:rsid w:val="00FA4497"/>
    <w:rsid w:val="00FA5B54"/>
    <w:rsid w:val="00FC71CA"/>
    <w:rsid w:val="00FD5353"/>
    <w:rsid w:val="00FE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5D88"/>
  <w15:docId w15:val="{EB5E5463-2092-41A3-8A5C-6ECA3CE5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31F20"/>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7A"/>
  </w:style>
  <w:style w:type="paragraph" w:styleId="Heading1">
    <w:name w:val="heading 1"/>
    <w:aliases w:val="APA Level Head 2"/>
    <w:basedOn w:val="Normal"/>
    <w:uiPriority w:val="9"/>
    <w:rsid w:val="00947505"/>
    <w:pPr>
      <w:pBdr>
        <w:bottom w:val="single" w:sz="4" w:space="1" w:color="auto"/>
      </w:pBdr>
      <w:spacing w:before="81"/>
      <w:ind w:left="114"/>
      <w:jc w:val="center"/>
      <w:outlineLvl w:val="0"/>
    </w:pPr>
    <w:rPr>
      <w:sz w:val="56"/>
      <w:szCs w:val="24"/>
    </w:rPr>
  </w:style>
  <w:style w:type="paragraph" w:styleId="Heading2">
    <w:name w:val="heading 2"/>
    <w:aliases w:val="Level Heading 2"/>
    <w:basedOn w:val="Normal"/>
    <w:next w:val="Normal"/>
    <w:link w:val="Heading2Char"/>
    <w:uiPriority w:val="9"/>
    <w:unhideWhenUsed/>
    <w:rsid w:val="00A12323"/>
    <w:pPr>
      <w:keepNext/>
      <w:keepLines/>
      <w:spacing w:before="40"/>
      <w:outlineLvl w:val="1"/>
    </w:pPr>
    <w:rPr>
      <w:rFonts w:eastAsiaTheme="majorEastAsia" w:cstheme="majorBidi"/>
      <w:b/>
      <w:szCs w:val="26"/>
    </w:rPr>
  </w:style>
  <w:style w:type="paragraph" w:styleId="Heading3">
    <w:name w:val="heading 3"/>
    <w:aliases w:val="Level Heading 3"/>
    <w:basedOn w:val="Normal"/>
    <w:next w:val="Normal"/>
    <w:link w:val="Heading3Char"/>
    <w:uiPriority w:val="9"/>
    <w:unhideWhenUsed/>
    <w:rsid w:val="00A12323"/>
    <w:pPr>
      <w:keepNext/>
      <w:keepLines/>
      <w:spacing w:before="40"/>
      <w:outlineLvl w:val="2"/>
    </w:pPr>
    <w:rPr>
      <w:rFonts w:eastAsiaTheme="majorEastAsia" w:cstheme="majorBidi"/>
      <w:b/>
      <w:i/>
      <w:szCs w:val="24"/>
    </w:rPr>
  </w:style>
  <w:style w:type="paragraph" w:styleId="Heading4">
    <w:name w:val="heading 4"/>
    <w:basedOn w:val="Normal"/>
    <w:next w:val="Normal"/>
    <w:link w:val="Heading4Char"/>
    <w:uiPriority w:val="9"/>
    <w:unhideWhenUsed/>
    <w:rsid w:val="00A12323"/>
    <w:pPr>
      <w:keepNext/>
      <w:keepLines/>
      <w:spacing w:before="40"/>
      <w:ind w:left="720"/>
      <w:outlineLvl w:val="3"/>
    </w:pPr>
    <w:rPr>
      <w:rFonts w:eastAsiaTheme="majorEastAsia" w:cstheme="majorBidi"/>
      <w:b/>
      <w:iCs/>
    </w:rPr>
  </w:style>
  <w:style w:type="paragraph" w:styleId="Heading5">
    <w:name w:val="heading 5"/>
    <w:basedOn w:val="Normal"/>
    <w:next w:val="Normal"/>
    <w:link w:val="Heading5Char"/>
    <w:uiPriority w:val="9"/>
    <w:unhideWhenUsed/>
    <w:rsid w:val="00A12323"/>
    <w:pPr>
      <w:keepNext/>
      <w:keepLines/>
      <w:spacing w:before="40"/>
      <w:ind w:left="720"/>
      <w:outlineLvl w:val="4"/>
    </w:pPr>
    <w:rPr>
      <w:rFonts w:eastAsiaTheme="majorEastAsia" w:cstheme="majorBidi"/>
      <w:b/>
      <w:i/>
    </w:rPr>
  </w:style>
  <w:style w:type="paragraph" w:styleId="Heading6">
    <w:name w:val="heading 6"/>
    <w:basedOn w:val="Normal"/>
    <w:next w:val="Normal"/>
    <w:link w:val="Heading6Char"/>
    <w:uiPriority w:val="9"/>
    <w:semiHidden/>
    <w:unhideWhenUsed/>
    <w:rsid w:val="00233C7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0F80"/>
    <w:rPr>
      <w:szCs w:val="18"/>
    </w:rPr>
  </w:style>
  <w:style w:type="paragraph" w:styleId="TOC4">
    <w:name w:val="toc 4"/>
    <w:basedOn w:val="Normal"/>
    <w:next w:val="Normal"/>
    <w:autoRedefine/>
    <w:uiPriority w:val="39"/>
    <w:unhideWhenUsed/>
    <w:rsid w:val="00C32FCB"/>
    <w:pPr>
      <w:ind w:left="660"/>
    </w:pPr>
    <w:rPr>
      <w:rFonts w:cstheme="minorHAnsi"/>
      <w:i/>
      <w:szCs w:val="20"/>
    </w:rPr>
  </w:style>
  <w:style w:type="paragraph" w:styleId="ListParagraph">
    <w:name w:val="List Paragraph"/>
    <w:basedOn w:val="Normal"/>
    <w:uiPriority w:val="1"/>
  </w:style>
  <w:style w:type="paragraph" w:customStyle="1" w:styleId="TableParagraph">
    <w:name w:val="Table Paragraph"/>
    <w:basedOn w:val="Normal"/>
    <w:uiPriority w:val="1"/>
    <w:rsid w:val="00E20F80"/>
    <w:rPr>
      <w:rFonts w:ascii="Georgia" w:hAnsi="Georgia"/>
    </w:rPr>
  </w:style>
  <w:style w:type="character" w:styleId="CommentReference">
    <w:name w:val="annotation reference"/>
    <w:basedOn w:val="DefaultParagraphFont"/>
    <w:uiPriority w:val="99"/>
    <w:semiHidden/>
    <w:unhideWhenUsed/>
    <w:rsid w:val="002A085F"/>
    <w:rPr>
      <w:sz w:val="16"/>
      <w:szCs w:val="16"/>
    </w:rPr>
  </w:style>
  <w:style w:type="paragraph" w:styleId="CommentText">
    <w:name w:val="annotation text"/>
    <w:basedOn w:val="Normal"/>
    <w:link w:val="CommentTextChar"/>
    <w:uiPriority w:val="99"/>
    <w:unhideWhenUsed/>
    <w:rsid w:val="002A085F"/>
    <w:rPr>
      <w:sz w:val="20"/>
      <w:szCs w:val="20"/>
    </w:rPr>
  </w:style>
  <w:style w:type="character" w:customStyle="1" w:styleId="CommentTextChar">
    <w:name w:val="Comment Text Char"/>
    <w:basedOn w:val="DefaultParagraphFont"/>
    <w:link w:val="CommentText"/>
    <w:uiPriority w:val="99"/>
    <w:rsid w:val="002A08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085F"/>
    <w:rPr>
      <w:b/>
      <w:bCs/>
    </w:rPr>
  </w:style>
  <w:style w:type="character" w:customStyle="1" w:styleId="CommentSubjectChar">
    <w:name w:val="Comment Subject Char"/>
    <w:basedOn w:val="CommentTextChar"/>
    <w:link w:val="CommentSubject"/>
    <w:uiPriority w:val="99"/>
    <w:semiHidden/>
    <w:rsid w:val="002A085F"/>
    <w:rPr>
      <w:rFonts w:ascii="Arial" w:eastAsia="Arial" w:hAnsi="Arial" w:cs="Arial"/>
      <w:b/>
      <w:bCs/>
      <w:sz w:val="20"/>
      <w:szCs w:val="20"/>
    </w:rPr>
  </w:style>
  <w:style w:type="paragraph" w:styleId="Header">
    <w:name w:val="header"/>
    <w:basedOn w:val="Normal"/>
    <w:link w:val="HeaderChar"/>
    <w:uiPriority w:val="99"/>
    <w:unhideWhenUsed/>
    <w:rsid w:val="00E20F80"/>
    <w:pPr>
      <w:tabs>
        <w:tab w:val="center" w:pos="4680"/>
        <w:tab w:val="right" w:pos="9360"/>
      </w:tabs>
    </w:pPr>
    <w:rPr>
      <w:sz w:val="20"/>
    </w:rPr>
  </w:style>
  <w:style w:type="character" w:customStyle="1" w:styleId="HeaderChar">
    <w:name w:val="Header Char"/>
    <w:basedOn w:val="DefaultParagraphFont"/>
    <w:link w:val="Header"/>
    <w:uiPriority w:val="99"/>
    <w:rsid w:val="00E20F80"/>
    <w:rPr>
      <w:rFonts w:ascii="Arial" w:eastAsia="Arial" w:hAnsi="Arial" w:cs="Arial"/>
      <w:sz w:val="20"/>
    </w:rPr>
  </w:style>
  <w:style w:type="paragraph" w:styleId="Footer">
    <w:name w:val="footer"/>
    <w:basedOn w:val="Normal"/>
    <w:link w:val="FooterChar"/>
    <w:uiPriority w:val="99"/>
    <w:unhideWhenUsed/>
    <w:rsid w:val="00E20F80"/>
    <w:pPr>
      <w:tabs>
        <w:tab w:val="center" w:pos="4680"/>
        <w:tab w:val="right" w:pos="9360"/>
      </w:tabs>
    </w:pPr>
    <w:rPr>
      <w:sz w:val="20"/>
    </w:rPr>
  </w:style>
  <w:style w:type="character" w:customStyle="1" w:styleId="FooterChar">
    <w:name w:val="Footer Char"/>
    <w:basedOn w:val="DefaultParagraphFont"/>
    <w:link w:val="Footer"/>
    <w:uiPriority w:val="99"/>
    <w:rsid w:val="00E20F80"/>
    <w:rPr>
      <w:rFonts w:ascii="Arial" w:eastAsia="Arial" w:hAnsi="Arial" w:cs="Arial"/>
      <w:sz w:val="20"/>
    </w:rPr>
  </w:style>
  <w:style w:type="character" w:customStyle="1" w:styleId="Heading2Char">
    <w:name w:val="Heading 2 Char"/>
    <w:aliases w:val="Level Heading 2 Char"/>
    <w:basedOn w:val="DefaultParagraphFont"/>
    <w:link w:val="Heading2"/>
    <w:uiPriority w:val="9"/>
    <w:rsid w:val="00A12323"/>
    <w:rPr>
      <w:rFonts w:ascii="Arial" w:eastAsiaTheme="majorEastAsia" w:hAnsi="Arial" w:cstheme="majorBidi"/>
      <w:b/>
      <w:szCs w:val="26"/>
    </w:rPr>
  </w:style>
  <w:style w:type="character" w:customStyle="1" w:styleId="Heading3Char">
    <w:name w:val="Heading 3 Char"/>
    <w:aliases w:val="Level Heading 3 Char"/>
    <w:basedOn w:val="DefaultParagraphFont"/>
    <w:link w:val="Heading3"/>
    <w:uiPriority w:val="9"/>
    <w:rsid w:val="00A12323"/>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A12323"/>
    <w:rPr>
      <w:rFonts w:ascii="Arial" w:eastAsiaTheme="majorEastAsia" w:hAnsi="Arial" w:cstheme="majorBidi"/>
      <w:b/>
      <w:iCs/>
    </w:rPr>
  </w:style>
  <w:style w:type="character" w:customStyle="1" w:styleId="Heading5Char">
    <w:name w:val="Heading 5 Char"/>
    <w:basedOn w:val="DefaultParagraphFont"/>
    <w:link w:val="Heading5"/>
    <w:uiPriority w:val="9"/>
    <w:rsid w:val="00A12323"/>
    <w:rPr>
      <w:rFonts w:ascii="Arial" w:eastAsiaTheme="majorEastAsia" w:hAnsi="Arial" w:cstheme="majorBidi"/>
      <w:b/>
      <w:i/>
    </w:rPr>
  </w:style>
  <w:style w:type="character" w:styleId="Hyperlink">
    <w:name w:val="Hyperlink"/>
    <w:basedOn w:val="DefaultParagraphFont"/>
    <w:uiPriority w:val="99"/>
    <w:unhideWhenUsed/>
    <w:rsid w:val="00847924"/>
    <w:rPr>
      <w:color w:val="0000FF"/>
      <w:u w:val="single"/>
    </w:rPr>
  </w:style>
  <w:style w:type="paragraph" w:styleId="BalloonText">
    <w:name w:val="Balloon Text"/>
    <w:basedOn w:val="Normal"/>
    <w:link w:val="BalloonTextChar"/>
    <w:uiPriority w:val="99"/>
    <w:semiHidden/>
    <w:unhideWhenUsed/>
    <w:rsid w:val="00E20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80"/>
    <w:rPr>
      <w:rFonts w:ascii="Segoe UI" w:eastAsia="Arial" w:hAnsi="Segoe UI" w:cs="Segoe UI"/>
      <w:sz w:val="18"/>
      <w:szCs w:val="18"/>
    </w:rPr>
  </w:style>
  <w:style w:type="paragraph" w:styleId="TOCHeading">
    <w:name w:val="TOC Heading"/>
    <w:basedOn w:val="Heading1"/>
    <w:next w:val="Normal"/>
    <w:autoRedefine/>
    <w:uiPriority w:val="39"/>
    <w:unhideWhenUsed/>
    <w:rsid w:val="00C32FCB"/>
    <w:pPr>
      <w:keepNext/>
      <w:keepLines/>
      <w:widowControl/>
      <w:pBdr>
        <w:bottom w:val="none" w:sz="0" w:space="0" w:color="auto"/>
      </w:pBdr>
      <w:autoSpaceDE/>
      <w:autoSpaceDN/>
      <w:spacing w:before="240" w:line="259" w:lineRule="auto"/>
      <w:ind w:left="0"/>
      <w:jc w:val="left"/>
      <w:outlineLvl w:val="9"/>
    </w:pPr>
    <w:rPr>
      <w:rFonts w:eastAsiaTheme="majorEastAsia" w:cstheme="majorBidi"/>
      <w:color w:val="auto"/>
      <w:sz w:val="22"/>
      <w:szCs w:val="32"/>
    </w:rPr>
  </w:style>
  <w:style w:type="paragraph" w:styleId="TOC2">
    <w:name w:val="toc 2"/>
    <w:basedOn w:val="Normal"/>
    <w:next w:val="Normal"/>
    <w:autoRedefine/>
    <w:uiPriority w:val="39"/>
    <w:unhideWhenUsed/>
    <w:rsid w:val="00C32FCB"/>
    <w:pPr>
      <w:spacing w:before="120"/>
      <w:ind w:left="220"/>
    </w:pPr>
    <w:rPr>
      <w:rFonts w:cstheme="minorHAnsi"/>
      <w:i/>
      <w:iCs/>
      <w:szCs w:val="20"/>
    </w:rPr>
  </w:style>
  <w:style w:type="paragraph" w:styleId="TOC1">
    <w:name w:val="toc 1"/>
    <w:basedOn w:val="Normal"/>
    <w:next w:val="Normal"/>
    <w:autoRedefine/>
    <w:uiPriority w:val="39"/>
    <w:unhideWhenUsed/>
    <w:rsid w:val="00C32FCB"/>
    <w:pPr>
      <w:spacing w:before="240" w:after="120"/>
    </w:pPr>
    <w:rPr>
      <w:rFonts w:cstheme="minorHAnsi"/>
      <w:b/>
      <w:bCs/>
      <w:szCs w:val="20"/>
    </w:rPr>
  </w:style>
  <w:style w:type="paragraph" w:styleId="TOC3">
    <w:name w:val="toc 3"/>
    <w:basedOn w:val="Normal"/>
    <w:next w:val="Normal"/>
    <w:autoRedefine/>
    <w:uiPriority w:val="39"/>
    <w:unhideWhenUsed/>
    <w:rsid w:val="00C32FCB"/>
    <w:pPr>
      <w:ind w:left="440"/>
    </w:pPr>
    <w:rPr>
      <w:rFonts w:cstheme="minorHAnsi"/>
      <w:szCs w:val="20"/>
    </w:rPr>
  </w:style>
  <w:style w:type="paragraph" w:styleId="NoSpacing">
    <w:name w:val="No Spacing"/>
    <w:uiPriority w:val="1"/>
    <w:rsid w:val="00E20F80"/>
    <w:rPr>
      <w:rFonts w:eastAsia="Arial"/>
    </w:rPr>
  </w:style>
  <w:style w:type="paragraph" w:styleId="TOC5">
    <w:name w:val="toc 5"/>
    <w:basedOn w:val="Normal"/>
    <w:next w:val="Normal"/>
    <w:autoRedefine/>
    <w:uiPriority w:val="39"/>
    <w:unhideWhenUsed/>
    <w:rsid w:val="00C32FCB"/>
    <w:pPr>
      <w:ind w:left="880"/>
    </w:pPr>
    <w:rPr>
      <w:rFonts w:cstheme="minorHAnsi"/>
      <w:szCs w:val="20"/>
    </w:rPr>
  </w:style>
  <w:style w:type="paragraph" w:customStyle="1" w:styleId="APATitle">
    <w:name w:val="APA Title"/>
    <w:aliases w:val="Level Heading 1"/>
    <w:qFormat/>
    <w:rsid w:val="004056BC"/>
    <w:pPr>
      <w:jc w:val="center"/>
    </w:pPr>
    <w:rPr>
      <w:rFonts w:eastAsiaTheme="majorEastAsia" w:cstheme="majorBidi"/>
      <w:b/>
      <w:sz w:val="56"/>
      <w:szCs w:val="26"/>
    </w:rPr>
  </w:style>
  <w:style w:type="paragraph" w:customStyle="1" w:styleId="APALevelHeading3">
    <w:name w:val="APA Level Heading 3"/>
    <w:qFormat/>
    <w:rsid w:val="00233C70"/>
    <w:rPr>
      <w:rFonts w:eastAsiaTheme="majorEastAsia" w:cstheme="majorBidi"/>
      <w:b/>
      <w:i/>
      <w:szCs w:val="26"/>
    </w:rPr>
  </w:style>
  <w:style w:type="character" w:customStyle="1" w:styleId="Heading6Char">
    <w:name w:val="Heading 6 Char"/>
    <w:basedOn w:val="DefaultParagraphFont"/>
    <w:link w:val="Heading6"/>
    <w:uiPriority w:val="9"/>
    <w:semiHidden/>
    <w:rsid w:val="00233C70"/>
    <w:rPr>
      <w:rFonts w:asciiTheme="majorHAnsi" w:eastAsiaTheme="majorEastAsia" w:hAnsiTheme="majorHAnsi" w:cstheme="majorBidi"/>
      <w:color w:val="243F60" w:themeColor="accent1" w:themeShade="7F"/>
    </w:rPr>
  </w:style>
  <w:style w:type="paragraph" w:customStyle="1" w:styleId="APALevelHeading2">
    <w:name w:val="APA Level Heading 2"/>
    <w:qFormat/>
    <w:rsid w:val="00257A62"/>
    <w:rPr>
      <w:rFonts w:eastAsiaTheme="majorEastAsia" w:cstheme="majorBidi"/>
      <w:b/>
      <w:szCs w:val="26"/>
    </w:rPr>
  </w:style>
  <w:style w:type="paragraph" w:customStyle="1" w:styleId="APALevelHeading4">
    <w:name w:val="APA Level Heading 4"/>
    <w:qFormat/>
    <w:rsid w:val="00257A62"/>
    <w:pPr>
      <w:ind w:left="720"/>
    </w:pPr>
    <w:rPr>
      <w:rFonts w:eastAsiaTheme="majorEastAsia" w:cstheme="majorBidi"/>
      <w:b/>
      <w:szCs w:val="26"/>
    </w:rPr>
  </w:style>
  <w:style w:type="paragraph" w:customStyle="1" w:styleId="APALevelHeading5">
    <w:name w:val="APA Level Heading 5"/>
    <w:qFormat/>
    <w:rsid w:val="00C90C38"/>
    <w:pPr>
      <w:ind w:left="720"/>
    </w:pPr>
    <w:rPr>
      <w:rFonts w:eastAsiaTheme="majorEastAsia" w:cstheme="majorBidi"/>
      <w:b/>
      <w:i/>
      <w:szCs w:val="26"/>
    </w:rPr>
  </w:style>
  <w:style w:type="paragraph" w:styleId="TOC6">
    <w:name w:val="toc 6"/>
    <w:basedOn w:val="Normal"/>
    <w:next w:val="Normal"/>
    <w:autoRedefine/>
    <w:uiPriority w:val="39"/>
    <w:unhideWhenUsed/>
    <w:rsid w:val="00C32FCB"/>
    <w:pPr>
      <w:ind w:left="1100"/>
    </w:pPr>
    <w:rPr>
      <w:rFonts w:cstheme="minorHAnsi"/>
      <w:szCs w:val="20"/>
    </w:rPr>
  </w:style>
  <w:style w:type="paragraph" w:styleId="TOC7">
    <w:name w:val="toc 7"/>
    <w:basedOn w:val="Normal"/>
    <w:next w:val="Normal"/>
    <w:autoRedefine/>
    <w:uiPriority w:val="39"/>
    <w:unhideWhenUsed/>
    <w:rsid w:val="00257A62"/>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C32FCB"/>
    <w:pPr>
      <w:ind w:left="1540"/>
    </w:pPr>
    <w:rPr>
      <w:rFonts w:cstheme="minorHAnsi"/>
      <w:szCs w:val="20"/>
    </w:rPr>
  </w:style>
  <w:style w:type="paragraph" w:styleId="TOC9">
    <w:name w:val="toc 9"/>
    <w:basedOn w:val="Normal"/>
    <w:next w:val="Normal"/>
    <w:autoRedefine/>
    <w:uiPriority w:val="39"/>
    <w:unhideWhenUsed/>
    <w:rsid w:val="00C32FCB"/>
    <w:pPr>
      <w:ind w:left="1760"/>
    </w:pPr>
    <w:rPr>
      <w:rFonts w:cstheme="minorHAnsi"/>
      <w:szCs w:val="20"/>
    </w:rPr>
  </w:style>
  <w:style w:type="character" w:styleId="Strong">
    <w:name w:val="Strong"/>
    <w:basedOn w:val="DefaultParagraphFont"/>
    <w:uiPriority w:val="22"/>
    <w:qFormat/>
    <w:rsid w:val="003B5865"/>
    <w:rPr>
      <w:b/>
      <w:bCs/>
    </w:rPr>
  </w:style>
  <w:style w:type="character" w:styleId="Emphasis">
    <w:name w:val="Emphasis"/>
    <w:basedOn w:val="DefaultParagraphFont"/>
    <w:uiPriority w:val="20"/>
    <w:qFormat/>
    <w:rsid w:val="00210D98"/>
    <w:rPr>
      <w:i/>
      <w:iCs/>
    </w:rPr>
  </w:style>
  <w:style w:type="character" w:customStyle="1" w:styleId="UnresolvedMention1">
    <w:name w:val="Unresolved Mention1"/>
    <w:basedOn w:val="DefaultParagraphFont"/>
    <w:uiPriority w:val="99"/>
    <w:semiHidden/>
    <w:unhideWhenUsed/>
    <w:rsid w:val="00AB03E5"/>
    <w:rPr>
      <w:color w:val="605E5C"/>
      <w:shd w:val="clear" w:color="auto" w:fill="E1DFDD"/>
    </w:rPr>
  </w:style>
  <w:style w:type="table" w:styleId="TableGrid">
    <w:name w:val="Table Grid"/>
    <w:basedOn w:val="TableNormal"/>
    <w:uiPriority w:val="39"/>
    <w:rsid w:val="00C90C38"/>
    <w:pPr>
      <w:widowControl/>
      <w:autoSpaceDE/>
      <w:autoSpaceDN/>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
    <w:name w:val="Table/Figure"/>
    <w:basedOn w:val="BodyText"/>
    <w:link w:val="TableFigureChar"/>
    <w:qFormat/>
    <w:rsid w:val="00C90C38"/>
    <w:rPr>
      <w:rFonts w:ascii="Georgia" w:hAnsi="Georgia"/>
      <w:b/>
      <w:noProof/>
      <w:color w:val="222222"/>
      <w:szCs w:val="22"/>
      <w:shd w:val="clear" w:color="auto" w:fill="FFFFFF"/>
    </w:rPr>
  </w:style>
  <w:style w:type="paragraph" w:customStyle="1" w:styleId="TableFigureTitle">
    <w:name w:val="Table Figure Title"/>
    <w:basedOn w:val="BodyText"/>
    <w:link w:val="TableFigureTitleChar"/>
    <w:qFormat/>
    <w:rsid w:val="00C90C38"/>
    <w:rPr>
      <w:rFonts w:ascii="Georgia" w:hAnsi="Georgia"/>
      <w:i/>
      <w:noProof/>
      <w:color w:val="222222"/>
      <w:szCs w:val="22"/>
      <w:shd w:val="clear" w:color="auto" w:fill="FFFFFF"/>
    </w:rPr>
  </w:style>
  <w:style w:type="character" w:customStyle="1" w:styleId="BodyTextChar">
    <w:name w:val="Body Text Char"/>
    <w:basedOn w:val="DefaultParagraphFont"/>
    <w:link w:val="BodyText"/>
    <w:uiPriority w:val="1"/>
    <w:rsid w:val="00C90C38"/>
    <w:rPr>
      <w:szCs w:val="18"/>
    </w:rPr>
  </w:style>
  <w:style w:type="character" w:customStyle="1" w:styleId="TableFigureChar">
    <w:name w:val="Table/Figure Char"/>
    <w:basedOn w:val="BodyTextChar"/>
    <w:link w:val="TableFigure"/>
    <w:rsid w:val="00C90C38"/>
    <w:rPr>
      <w:rFonts w:ascii="Georgia" w:hAnsi="Georgia"/>
      <w:b/>
      <w:noProof/>
      <w:color w:val="222222"/>
      <w:szCs w:val="18"/>
    </w:rPr>
  </w:style>
  <w:style w:type="character" w:styleId="FootnoteReference">
    <w:name w:val="footnote reference"/>
    <w:basedOn w:val="DefaultParagraphFont"/>
    <w:uiPriority w:val="99"/>
    <w:semiHidden/>
    <w:unhideWhenUsed/>
    <w:rsid w:val="009654E8"/>
    <w:rPr>
      <w:vertAlign w:val="superscript"/>
    </w:rPr>
  </w:style>
  <w:style w:type="character" w:customStyle="1" w:styleId="TableFigureTitleChar">
    <w:name w:val="Table Figure Title Char"/>
    <w:basedOn w:val="BodyTextChar"/>
    <w:link w:val="TableFigureTitle"/>
    <w:rsid w:val="00C90C38"/>
    <w:rPr>
      <w:rFonts w:ascii="Georgia" w:hAnsi="Georgia"/>
      <w:i/>
      <w:noProof/>
      <w:color w:val="222222"/>
      <w:szCs w:val="18"/>
    </w:rPr>
  </w:style>
  <w:style w:type="paragraph" w:customStyle="1" w:styleId="Default">
    <w:name w:val="Default"/>
    <w:rsid w:val="003A42BE"/>
    <w:pPr>
      <w:widowControl/>
      <w:adjustRightInd w:val="0"/>
    </w:pPr>
    <w:rPr>
      <w:rFonts w:ascii="Proxima Nova" w:hAnsi="Proxima Nova" w:cs="Proxima Nova"/>
      <w:color w:val="000000"/>
      <w:sz w:val="24"/>
      <w:szCs w:val="24"/>
    </w:rPr>
  </w:style>
  <w:style w:type="table" w:styleId="PlainTable3">
    <w:name w:val="Plain Table 3"/>
    <w:basedOn w:val="TableNormal"/>
    <w:uiPriority w:val="43"/>
    <w:rsid w:val="003925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392541"/>
    <w:pPr>
      <w:spacing w:after="200"/>
    </w:pPr>
    <w:rPr>
      <w:i/>
      <w:iCs/>
      <w:color w:val="1F497D" w:themeColor="text2"/>
      <w:sz w:val="18"/>
      <w:szCs w:val="18"/>
    </w:rPr>
  </w:style>
  <w:style w:type="paragraph" w:styleId="Bibliography">
    <w:name w:val="Bibliography"/>
    <w:basedOn w:val="Normal"/>
    <w:next w:val="Normal"/>
    <w:uiPriority w:val="37"/>
    <w:unhideWhenUsed/>
    <w:rsid w:val="00392541"/>
  </w:style>
  <w:style w:type="character" w:styleId="PlaceholderText">
    <w:name w:val="Placeholder Text"/>
    <w:basedOn w:val="DefaultParagraphFont"/>
    <w:uiPriority w:val="99"/>
    <w:semiHidden/>
    <w:rsid w:val="00F152BA"/>
    <w:rPr>
      <w:color w:val="808080"/>
    </w:rPr>
  </w:style>
  <w:style w:type="paragraph" w:styleId="Revision">
    <w:name w:val="Revision"/>
    <w:hidden/>
    <w:uiPriority w:val="99"/>
    <w:semiHidden/>
    <w:rsid w:val="00402B9E"/>
    <w:pPr>
      <w:widowControl/>
      <w:autoSpaceDE/>
      <w:autoSpaceDN/>
    </w:pPr>
  </w:style>
  <w:style w:type="paragraph" w:styleId="NormalWeb">
    <w:name w:val="Normal (Web)"/>
    <w:basedOn w:val="Normal"/>
    <w:uiPriority w:val="99"/>
    <w:unhideWhenUsed/>
    <w:rsid w:val="009547AF"/>
    <w:pPr>
      <w:widowControl/>
      <w:autoSpaceDE/>
      <w:autoSpaceDN/>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901">
      <w:bodyDiv w:val="1"/>
      <w:marLeft w:val="0"/>
      <w:marRight w:val="0"/>
      <w:marTop w:val="0"/>
      <w:marBottom w:val="0"/>
      <w:divBdr>
        <w:top w:val="none" w:sz="0" w:space="0" w:color="auto"/>
        <w:left w:val="none" w:sz="0" w:space="0" w:color="auto"/>
        <w:bottom w:val="none" w:sz="0" w:space="0" w:color="auto"/>
        <w:right w:val="none" w:sz="0" w:space="0" w:color="auto"/>
      </w:divBdr>
      <w:divsChild>
        <w:div w:id="1533348429">
          <w:marLeft w:val="0"/>
          <w:marRight w:val="0"/>
          <w:marTop w:val="0"/>
          <w:marBottom w:val="0"/>
          <w:divBdr>
            <w:top w:val="none" w:sz="0" w:space="0" w:color="auto"/>
            <w:left w:val="none" w:sz="0" w:space="0" w:color="auto"/>
            <w:bottom w:val="none" w:sz="0" w:space="0" w:color="auto"/>
            <w:right w:val="none" w:sz="0" w:space="0" w:color="auto"/>
          </w:divBdr>
        </w:div>
        <w:div w:id="1110473484">
          <w:marLeft w:val="0"/>
          <w:marRight w:val="0"/>
          <w:marTop w:val="0"/>
          <w:marBottom w:val="0"/>
          <w:divBdr>
            <w:top w:val="none" w:sz="0" w:space="0" w:color="auto"/>
            <w:left w:val="none" w:sz="0" w:space="0" w:color="auto"/>
            <w:bottom w:val="none" w:sz="0" w:space="0" w:color="auto"/>
            <w:right w:val="none" w:sz="0" w:space="0" w:color="auto"/>
          </w:divBdr>
        </w:div>
        <w:div w:id="475992098">
          <w:marLeft w:val="0"/>
          <w:marRight w:val="0"/>
          <w:marTop w:val="0"/>
          <w:marBottom w:val="0"/>
          <w:divBdr>
            <w:top w:val="none" w:sz="0" w:space="0" w:color="auto"/>
            <w:left w:val="none" w:sz="0" w:space="0" w:color="auto"/>
            <w:bottom w:val="none" w:sz="0" w:space="0" w:color="auto"/>
            <w:right w:val="none" w:sz="0" w:space="0" w:color="auto"/>
          </w:divBdr>
        </w:div>
      </w:divsChild>
    </w:div>
    <w:div w:id="927619138">
      <w:bodyDiv w:val="1"/>
      <w:marLeft w:val="0"/>
      <w:marRight w:val="0"/>
      <w:marTop w:val="0"/>
      <w:marBottom w:val="0"/>
      <w:divBdr>
        <w:top w:val="none" w:sz="0" w:space="0" w:color="auto"/>
        <w:left w:val="none" w:sz="0" w:space="0" w:color="auto"/>
        <w:bottom w:val="none" w:sz="0" w:space="0" w:color="auto"/>
        <w:right w:val="none" w:sz="0" w:space="0" w:color="auto"/>
      </w:divBdr>
      <w:divsChild>
        <w:div w:id="1076710090">
          <w:marLeft w:val="0"/>
          <w:marRight w:val="0"/>
          <w:marTop w:val="0"/>
          <w:marBottom w:val="0"/>
          <w:divBdr>
            <w:top w:val="none" w:sz="0" w:space="0" w:color="auto"/>
            <w:left w:val="none" w:sz="0" w:space="0" w:color="auto"/>
            <w:bottom w:val="none" w:sz="0" w:space="0" w:color="auto"/>
            <w:right w:val="none" w:sz="0" w:space="0" w:color="auto"/>
          </w:divBdr>
        </w:div>
      </w:divsChild>
    </w:div>
    <w:div w:id="1125853066">
      <w:bodyDiv w:val="1"/>
      <w:marLeft w:val="0"/>
      <w:marRight w:val="0"/>
      <w:marTop w:val="0"/>
      <w:marBottom w:val="0"/>
      <w:divBdr>
        <w:top w:val="none" w:sz="0" w:space="0" w:color="auto"/>
        <w:left w:val="none" w:sz="0" w:space="0" w:color="auto"/>
        <w:bottom w:val="none" w:sz="0" w:space="0" w:color="auto"/>
        <w:right w:val="none" w:sz="0" w:space="0" w:color="auto"/>
      </w:divBdr>
    </w:div>
    <w:div w:id="1279877154">
      <w:bodyDiv w:val="1"/>
      <w:marLeft w:val="0"/>
      <w:marRight w:val="0"/>
      <w:marTop w:val="0"/>
      <w:marBottom w:val="0"/>
      <w:divBdr>
        <w:top w:val="none" w:sz="0" w:space="0" w:color="auto"/>
        <w:left w:val="none" w:sz="0" w:space="0" w:color="auto"/>
        <w:bottom w:val="none" w:sz="0" w:space="0" w:color="auto"/>
        <w:right w:val="none" w:sz="0" w:space="0" w:color="auto"/>
      </w:divBdr>
    </w:div>
    <w:div w:id="178831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E@afit.ed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FIT.edu/STA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4e3eb-747f-43bc-bf10-c1bbb893ecac" xsi:nil="true"/>
    <lcf76f155ced4ddcb4097134ff3c332f xmlns="c664e493-2004-4c7f-b31a-af7258fdc4e6">
      <Terms xmlns="http://schemas.microsoft.com/office/infopath/2007/PartnerControls"/>
    </lcf76f155ced4ddcb4097134ff3c332f>
    <SharedWithUsers xmlns="e2e68d15-cd08-43e2-9a83-a1327ba2869c">
      <UserInfo>
        <DisplayName>PROVOST, KYLE J CTR USAF AETC AFIT/ENC</DisplayName>
        <AccountId>225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582A90B485B47B861B75E39F0172D" ma:contentTypeVersion="12" ma:contentTypeDescription="Create a new document." ma:contentTypeScope="" ma:versionID="50b802038ace9248116c17af540cc5d6">
  <xsd:schema xmlns:xsd="http://www.w3.org/2001/XMLSchema" xmlns:xs="http://www.w3.org/2001/XMLSchema" xmlns:p="http://schemas.microsoft.com/office/2006/metadata/properties" xmlns:ns2="c664e493-2004-4c7f-b31a-af7258fdc4e6" xmlns:ns3="e2e68d15-cd08-43e2-9a83-a1327ba2869c" xmlns:ns4="bac4e3eb-747f-43bc-bf10-c1bbb893ecac" targetNamespace="http://schemas.microsoft.com/office/2006/metadata/properties" ma:root="true" ma:fieldsID="c3022cd471d394eb23ff12b9005eec4a" ns2:_="" ns3:_="" ns4:_="">
    <xsd:import namespace="c664e493-2004-4c7f-b31a-af7258fdc4e6"/>
    <xsd:import namespace="e2e68d15-cd08-43e2-9a83-a1327ba2869c"/>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493-2004-4c7f-b31a-af7258fdc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68d15-cd08-43e2-9a83-a1327ba286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e404b5f-752f-4f81-bd1b-d66666b99173}" ma:internalName="TaxCatchAll" ma:showField="CatchAllData" ma:web="e2e68d15-cd08-43e2-9a83-a1327ba2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Mod21</b:Tag>
    <b:SourceType>InternetSite</b:SourceType>
    <b:Guid>{BF891389-E829-48C7-943C-001361A622C1}</b:Guid>
    <b:Author>
      <b:Author>
        <b:Corporate>Modeling and Simulation Enterprise</b:Corporate>
      </b:Author>
    </b:Author>
    <b:Title>Department of Defense Modeling and Simulation Glossary</b:Title>
    <b:Year>2021</b:Year>
    <b:Month>August</b:Month>
    <b:InternetSiteTitle>Department of Defense Modeling and Simulation Enterprise</b:InternetSiteTitle>
    <b:URL>https://www.msco.mil/MSReferences/Glossary</b:URL>
    <b:RefOrder>1</b:RefOrder>
  </b:Source>
  <b:Source>
    <b:Tag>Pac15</b:Tag>
    <b:SourceType>JournalArticle</b:SourceType>
    <b:Guid>{AE026C1D-01D6-42CB-8847-44F1164C0D07}</b:Guid>
    <b:Author>
      <b:Author>
        <b:NameList>
          <b:Person>
            <b:Last>Pace</b:Last>
            <b:First>D.</b:First>
            <b:Middle>K.</b:Middle>
          </b:Person>
        </b:NameList>
      </b:Author>
    </b:Author>
    <b:Title>Fidelity, Resolution, Accuracy, and Uncertainty</b:Title>
    <b:JournalName>Modeling and Simulation in the Systems Engineering Life Cycle, Simulation Foundations, Methods and Applications</b:JournalName>
    <b:Year>2015</b:Year>
    <b:Pages>369</b:Pages>
    <b:URL>https://doi.org10.1007/978-1-4471-5634-5_10</b:URL>
    <b:RefOrder>2</b:RefOrder>
  </b:Source>
  <b:Source>
    <b:Tag>USD18</b:Tag>
    <b:SourceType>Misc</b:SourceType>
    <b:Guid>{5B5348B2-6C26-43EB-ADD2-92BB6233558D}</b:Guid>
    <b:Title>Department of Defense Instruction 5000.61</b:Title>
    <b:Year>2018</b:Year>
    <b:Author>
      <b:Author>
        <b:Corporate>US Department of Defense</b:Corporate>
      </b:Author>
    </b:Author>
    <b:RefOrder>3</b:RefOrder>
  </b:Source>
  <b:Source>
    <b:Tag>USD12</b:Tag>
    <b:SourceType>Report</b:SourceType>
    <b:Guid>{1E0401A7-40AC-4AD6-B407-F6AE17CD9A85}</b:Guid>
    <b:Title>MIL-STD 3022 Department of Defense Standard Practice Documentation of Verification, Validation, and Accreditation (VV&amp;A) for Models and Simulations</b:Title>
    <b:Year>2012</b:Year>
    <b:Author>
      <b:Author>
        <b:Corporate>US Department of Defense</b:Corporate>
      </b:Author>
    </b:Author>
    <b:RefOrder>4</b:RefOrder>
  </b:Source>
  <b:Source>
    <b:Tag>Mod12</b:Tag>
    <b:SourceType>Misc</b:SourceType>
    <b:Guid>{A804B44B-D64A-496D-AFBE-B3B67953E0ED}</b:Guid>
    <b:Author>
      <b:Author>
        <b:Corporate>Modeling and Simulation Coordination Office (MSCO)</b:Corporate>
      </b:Author>
    </b:Author>
    <b:Title>Modeling and Simulation (M&amp;S) Community of Interest (COI) Discovery Metadata Specification (MSC-DMS)</b:Title>
    <b:Year>2012</b:Year>
    <b:RefOrder>5</b:RefOrder>
  </b:Source>
  <b:Source>
    <b:Tag>Dep18</b:Tag>
    <b:SourceType>Report</b:SourceType>
    <b:Guid>{CF8D2189-B682-413B-AC0D-FFF78A90E932}</b:Guid>
    <b:Author>
      <b:Author>
        <b:Corporate>Deputy Assistant Secretary of Defense for Systems Engineering (DASD(SE))</b:Corporate>
      </b:Author>
    </b:Author>
    <b:Title>DoD Digital Engineering Strategy</b:Title>
    <b:Year>2018</b:Year>
    <b:Publisher>United States of America, Department of Defense, Office of the Secretary of Defense</b:Publisher>
    <b:RefOrder>6</b:RefOrder>
  </b:Source>
  <b:Source>
    <b:Tag>Pil06</b:Tag>
    <b:SourceType>Report</b:SourceType>
    <b:Guid>{F7D8139B-4C04-4B22-8A21-7FCD42494DBB}</b:Guid>
    <b:Author>
      <b:Author>
        <b:NameList>
          <b:Person>
            <b:Last>Pilch</b:Last>
            <b:First>M.</b:First>
          </b:Person>
        </b:NameList>
      </b:Author>
    </b:Author>
    <b:Title>Predictive Capabiity Maturity Model</b:Title>
    <b:Year>2006</b:Year>
    <b:Publisher>Sandia National Laboratories</b:Publisher>
    <b:StandardNumber>SAND2006-3956C</b:StandardNumber>
    <b:RefOrder>7</b:RefOrder>
  </b:Source>
  <b:Source>
    <b:Tag>Cla07</b:Tag>
    <b:SourceType>Report</b:SourceType>
    <b:Guid>{0FE8E8DA-8851-4E6E-BDEF-AAB6F0D38A37}</b:Guid>
    <b:Title>Modeling and Simulation Technology Readiness Levels</b:Title>
    <b:Year>2007</b:Year>
    <b:Publisher>Sandia National Laboratories</b:Publisher>
    <b:Author>
      <b:Author>
        <b:NameList>
          <b:Person>
            <b:Last>Clay</b:Last>
            <b:First>Robert</b:First>
            <b:Middle>L</b:Middle>
          </b:Person>
        </b:NameList>
      </b:Author>
    </b:Author>
    <b:StandardNumber>SAND2007-0570</b:StandardNumber>
    <b:RefOrder>8</b:RefOrder>
  </b:Source>
  <b:Source>
    <b:Tag>Nat16</b:Tag>
    <b:SourceType>Report</b:SourceType>
    <b:Guid>{D82D40E8-7289-4BB9-B300-1CA59344B345}</b:Guid>
    <b:Title>Standard for Models and Simulations</b:Title>
    <b:Year>2016</b:Year>
    <b:Author>
      <b:Author>
        <b:Corporate>National Aeronautics and Space Administration</b:Corporate>
      </b:Author>
    </b:Author>
    <b:Institution>NASA</b:Institution>
    <b:StandardNumber>NASA-STD-7009A, Change 1</b:StandardNumber>
    <b:RefOrder>9</b:RefOrder>
  </b:Source>
  <b:Source>
    <b:Tag>You11</b:Tag>
    <b:SourceType>Report</b:SourceType>
    <b:Guid>{B0494ED9-4C08-46DB-818B-01E519556B69}</b:Guid>
    <b:Author>
      <b:Author>
        <b:NameList>
          <b:Person>
            <b:Last>Youngblood</b:Last>
            <b:First>S.</b:First>
            <b:Middle>M.</b:Middle>
          </b:Person>
          <b:Person>
            <b:Last>Stutzman</b:Last>
            <b:First>M.</b:First>
          </b:Person>
          <b:Person>
            <b:Last>Pace</b:Last>
            <b:First>D.</b:First>
            <b:Middle>K.</b:Middle>
          </b:Person>
          <b:Person>
            <b:Last>Pandolfini</b:Last>
            <b:First>P.</b:First>
            <b:Middle>P.</b:Middle>
          </b:Person>
        </b:NameList>
      </b:Author>
    </b:Author>
    <b:Title>Risk Based Methodology for Verification, Validation, and Accreditation (VV&amp;A) M&amp;S Use Risk Methodology (MURM)</b:Title>
    <b:Year>2011</b:Year>
    <b:Publisher>The Johns Hopkins University Applied Physics Labratory</b:Publisher>
    <b:RefOrder>10</b:RefOrder>
  </b:Source>
  <b:Source>
    <b:Tag>Nat12</b:Tag>
    <b:SourceType>Report</b:SourceType>
    <b:Guid>{A2C8DE0D-A7F1-47A9-8E10-E40CD9688382}</b:Guid>
    <b:Author>
      <b:Author>
        <b:Corporate>National Research Council</b:Corporate>
      </b:Author>
    </b:Author>
    <b:Title>Assessing the reliability of complex models: Mathematical and statistical foundations of verification, validation, and uncertainty quantification</b:Title>
    <b:Year>2012</b:Year>
    <b:Publisher>The National Academies Press</b:Publisher>
    <b:Pages>1-144</b:Pages>
    <b:URL>https://doi.org/10.17226/13395</b:URL>
    <b:RefOrder>11</b:RefOrder>
  </b:Source>
  <b:Source>
    <b:Tag>Gov20</b:Tag>
    <b:SourceType>Report</b:SourceType>
    <b:Guid>{50D73222-1CDE-47E5-A350-378E3B1E0CDA}</b:Guid>
    <b:Author>
      <b:Author>
        <b:Corporate>Government Accountability Office</b:Corporate>
      </b:Author>
    </b:Author>
    <b:Title>Technology Readiness Assessment Guide: Best Practices for Evaluating the Readiness of Technology for Use in Acquisition Programs and Projects</b:Title>
    <b:Year>2020</b:Year>
    <b:Publisher>Government Accountability Office</b:Publisher>
    <b:StandardNumber>GAO-20-48G</b:StandardNumber>
    <b:RefOrder>12</b:RefOrder>
  </b:Source>
  <b:Source>
    <b:Tag>Bob20</b:Tag>
    <b:SourceType>Report</b:SourceType>
    <b:Guid>{9F9F0BAF-6E82-4127-BC24-4B4DFAB205C7}</b:Guid>
    <b:Author>
      <b:Author>
        <b:Corporate>Defense Modeling and Simulation Coordination Office</b:Corporate>
      </b:Author>
    </b:Author>
    <b:Title>Defense Modeling and Simulation Reference Architecture</b:Title>
    <b:Year>2020</b:Year>
    <b:Publisher>Defense Modeling and Simulation Coordination Office</b:Publisher>
    <b:RefOrder>13</b:RefOrder>
  </b:Source>
  <b:Source>
    <b:Tag>Mod11</b:Tag>
    <b:SourceType>DocumentFromInternetSite</b:SourceType>
    <b:Guid>{C95B5357-BD6C-491D-9DC2-5BDE8C8ACE88}</b:Guid>
    <b:Title>Verification, Validation, and Accreditation Recommended Practices Guide</b:Title>
    <b:Year>2011</b:Year>
    <b:Author>
      <b:Author>
        <b:Corporate>Modeling &amp; Simulation Coordination Office (MSCO)</b:Corporate>
      </b:Author>
    </b:Author>
    <b:URL>https://vva.msco.mil/</b:URL>
    <b:RefOrder>14</b:RefOrder>
  </b:Source>
  <b:Source>
    <b:Tag>Ada20</b:Tag>
    <b:SourceType>Report</b:SourceType>
    <b:Guid>{385EF496-7171-49E0-A57C-FB1E872A24F2}</b:Guid>
    <b:Title>Guide to Developing an Effective STAT Test Strategy V 8.0</b:Title>
    <b:Year>2020</b:Year>
    <b:Publisher>Air Force Institute of Technology</b:Publisher>
    <b:Author>
      <b:Author>
        <b:NameList>
          <b:Person>
            <b:Last>Adams</b:Last>
            <b:First>W.</b:First>
          </b:Person>
          <b:Person>
            <b:Last>Burns</b:Last>
            <b:First>D.</b:First>
          </b:Person>
          <b:Person>
            <b:Last>Burke</b:Last>
            <b:First>S.</b:First>
          </b:Person>
          <b:Person>
            <b:Last>Divis</b:Last>
            <b:First>E.</b:First>
          </b:Person>
          <b:Person>
            <b:Last>Harmon</b:Last>
            <b:First>M.</b:First>
          </b:Person>
          <b:Person>
            <b:Last>Jones</b:Last>
            <b:First>K.</b:First>
          </b:Person>
          <b:Person>
            <b:Last>Jones</b:Last>
            <b:First>N.</b:First>
          </b:Person>
          <b:Person>
            <b:Last>Key</b:Last>
            <b:First>M.</b:First>
          </b:Person>
          <b:Person>
            <b:Last>Koerner</b:Last>
            <b:First>C.</b:First>
          </b:Person>
          <b:Person>
            <b:Last>Kolsti</b:Last>
            <b:First>K.</b:First>
          </b:Person>
          <b:Person>
            <b:Last>Marshall</b:Last>
            <b:First>M.</b:First>
          </b:Person>
          <b:Person>
            <b:Last>McBride</b:Last>
            <b:First>A.</b:First>
          </b:Person>
          <b:Person>
            <b:Last>Natoli</b:Last>
            <b:First>C.</b:First>
          </b:Person>
          <b:Person>
            <b:Last>Oimoen</b:Last>
            <b:First>S.</b:First>
          </b:Person>
          <b:Person>
            <b:Last>Ponack</b:Last>
            <b:First>R.</b:First>
          </b:Person>
          <b:Person>
            <b:Last>Ramert</b:Last>
            <b:First>A.</b:First>
          </b:Person>
          <b:Person>
            <b:Last>Rowell</b:Last>
            <b:First>W.</b:First>
          </b:Person>
          <b:Person>
            <b:Last>Shelton</b:Last>
            <b:First>T.</b:First>
          </b:Person>
          <b:Person>
            <b:Last>Sgambellone</b:Last>
            <b:First>A.</b:First>
          </b:Person>
          <b:Person>
            <b:Last>Sigler</b:Last>
            <b:First>G.</b:First>
          </b:Person>
          <b:Person>
            <b:Last>Truett</b:Last>
            <b:First>L.</b:First>
          </b:Person>
        </b:NameList>
      </b:Author>
    </b:Author>
    <b:Department>Department of Defense</b:Department>
    <b:Institution>STAT COE</b:Institution>
    <b:ThesisType>Best Practice</b:ThesisType>
    <b:RefOrder>15</b:RefOrder>
  </b:Source>
  <b:Source>
    <b:Tag>Ahn21</b:Tag>
    <b:SourceType>Report</b:SourceType>
    <b:Guid>{6794FF65-5478-408F-A700-9D6A68287E73}</b:Guid>
    <b:Author>
      <b:Author>
        <b:NameList>
          <b:Person>
            <b:Last>Ahner</b:Last>
            <b:First>Darryl</b:First>
            <b:Middle>K, PhD</b:Middle>
          </b:Person>
          <b:Person>
            <b:Last>Jones</b:Last>
            <b:First>Nicholas</b:First>
          </b:Person>
          <b:Person>
            <b:Last>Key</b:Last>
            <b:First>Melissa</b:First>
          </b:Person>
          <b:Person>
            <b:Last>Adams</b:Last>
            <b:First>Wayne</b:First>
          </b:Person>
          <b:Person>
            <b:Last>Burke</b:Last>
            <b:First>Sarah</b:First>
          </b:Person>
          <b:Person>
            <b:Last>Weeks</b:Last>
            <b:First>Corinne</b:First>
          </b:Person>
        </b:NameList>
      </b:Author>
    </b:Author>
    <b:Title>A Conceptual Framework for the Establishment of Model Readiness Levels</b:Title>
    <b:Year>2021</b:Year>
    <b:Institution>Scientific Test &amp; Analysis Techniques Center of Excellence (STAT COE)</b:Institution>
    <b:ThesisType>White Paper</b:ThesisType>
    <b:RefOrder>16</b:RefOrder>
  </b:Source>
</b:Sources>
</file>

<file path=customXml/itemProps1.xml><?xml version="1.0" encoding="utf-8"?>
<ds:datastoreItem xmlns:ds="http://schemas.openxmlformats.org/officeDocument/2006/customXml" ds:itemID="{6B66E8BC-3EE6-4B14-A2DA-B0891923415E}">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5C57AAF-10B2-4F32-BAA3-60DE20386FE2}">
  <ds:schemaRefs>
    <ds:schemaRef ds:uri="http://schemas.microsoft.com/sharepoint/v3/contenttype/forms"/>
  </ds:schemaRefs>
</ds:datastoreItem>
</file>

<file path=customXml/itemProps3.xml><?xml version="1.0" encoding="utf-8"?>
<ds:datastoreItem xmlns:ds="http://schemas.openxmlformats.org/officeDocument/2006/customXml" ds:itemID="{C75E6767-8E92-4E8C-98BA-D0C6C074E9AE}"/>
</file>

<file path=customXml/itemProps4.xml><?xml version="1.0" encoding="utf-8"?>
<ds:datastoreItem xmlns:ds="http://schemas.openxmlformats.org/officeDocument/2006/customXml" ds:itemID="{DE6BB932-45EE-4CE8-8624-FF71B811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6223</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Manager>Emily.Fitch.Ctr@afit.edu</Manager>
  <Company>Alion Science and Technology</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Fitch, Emily M Ctr USAF AETC AFIT/ENS</dc:creator>
  <dc:description>Insert Relevant Information Here for Leadership</dc:description>
  <cp:lastModifiedBy>Fitch, Emily M Ctr USAF AETC AFIT/ENG</cp:lastModifiedBy>
  <cp:revision>2</cp:revision>
  <cp:lastPrinted>2022-08-01T17:49:00Z</cp:lastPrinted>
  <dcterms:created xsi:type="dcterms:W3CDTF">2022-11-14T14:05:00Z</dcterms:created>
  <dcterms:modified xsi:type="dcterms:W3CDTF">2022-11-14T14:05:00Z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Adobe InDesign 16.4 (Windows)</vt:lpwstr>
  </property>
  <property fmtid="{D5CDD505-2E9C-101B-9397-08002B2CF9AE}" pid="4" name="LastSaved">
    <vt:filetime>2021-10-28T00:00:00Z</vt:filetime>
  </property>
  <property fmtid="{D5CDD505-2E9C-101B-9397-08002B2CF9AE}" pid="5" name="ContentTypeId">
    <vt:lpwstr>0x01010095C582A90B485B47B861B75E39F0172D</vt:lpwstr>
  </property>
</Properties>
</file>